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0.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jc w:val="center"/>
        <w:ind w:firstLine="0"/>
      </w:pPr>
      <w:r>
        <w:t>Наименование образовательного учреждения</w:t>
      </w:r>
    </w:p>
    <w:p>
      <w:pPr>
        <w:jc w:val="center"/>
        <w:spacing w:before="2400"/>
        <w:ind w:firstLine="0"/>
      </w:pPr>
      <w:r>
        <w:rPr>
          <w:b/>
          <w:sz w:val="56"/>
          <w:szCs w:val="56"/>
        </w:rPr>
        <w:t>Курсовая работа</w:t>
      </w:r>
    </w:p>
    <w:p>
      <w:pPr>
        <w:jc w:val="center"/>
        <w:ind w:firstLine="0"/>
      </w:pPr>
      <w:r>
        <w:t>на тему</w:t>
      </w:r>
    </w:p>
    <w:p>
      <w:pPr>
        <w:jc w:val="center"/>
        <w:spacing w:before="240"/>
        <w:ind w:firstLine="0"/>
      </w:pPr>
      <w:r>
        <w:rPr>
          <w:b/>
          <w:sz w:val="28"/>
          <w:szCs w:val="28"/>
        </w:rPr>
        <w:t>АНАЛИЗ УСТАРЕВАНИЯ ГОСУДАРСТВЕННЫХ СТАНДАРТОВ (ГОСТ) И ОБОСНОВАНИЕ АЛЬТЕРНАТИВНЫХ ПОДХОДОВ</w:t>
      </w:r>
    </w:p>
    <w:p>
      <w:pPr>
        <w:spacing w:before="3600"/>
        <w:ind w:firstLine="0"/>
      </w:pPr>
    </w:p>
    <w:p>
      <w:pPr>
        <w:jc w:val="left"/>
        <w:ind w:left="6500" w:firstLine="0"/>
      </w:pPr>
      <w:r>
        <w:t>Выполнил:</w:t>
      </w:r>
    </w:p>
    <w:p>
      <w:pPr>
        <w:jc w:val="left"/>
        <w:ind w:left="6500" w:firstLine="0"/>
      </w:pPr>
      <w:r>
        <w:t>ФИО</w:t>
      </w:r>
    </w:p>
    <w:p>
      <w:pPr>
        <w:spacing w:before="240"/>
        <w:ind w:firstLine="0"/>
      </w:pPr>
    </w:p>
    <w:p>
      <w:pPr>
        <w:jc w:val="left"/>
        <w:ind w:left="6500" w:firstLine="0"/>
      </w:pPr>
      <w:r>
        <w:t>Руководитель:</w:t>
      </w:r>
    </w:p>
    <w:p>
      <w:pPr>
        <w:jc w:val="left"/>
        <w:ind w:left="6500" w:firstLine="0"/>
      </w:pPr>
      <w:r>
        <w:t>ФИО</w:t>
      </w:r>
    </w:p>
    <w:p>
      <w:pPr>
        <w:sectPr>
          <w:footerReference w:type="default" r:id="rId9"/>
          <w:pgSz w:w="11906" w:h="16838" w:orient="portrait"/>
          <w:pgMar w:top="1134" w:right="851" w:bottom="1134" w:left="1701" w:header="708" w:footer="708" w:gutter="0"/>
          <w:type w:val="nextPage"/>
        </w:sectPr>
      </w:pPr>
    </w:p>
    <w:bookmarkStart w:id="20" w:name="toc"/>
    <w:p>
      <w:pPr>
        <w:spacing w:line="360" w:lineRule="auto" w:after="50" w:afterAutospacing="0" w:beforeAutospacing="0"/>
        <w:pStyle w:val="Heading1"/>
      </w:pPr>
      <w:r>
        <w:t xml:space="preserve">СОДЕРЖАНИЕ</w:t>
      </w:r>
    </w:p>
    <w:p>
      <w:pPr>
        <w:jc w:val="left"/>
        <w:ind w:firstLine="0"/>
        <w:tabs>
          <w:tab w:val="right" w:leader="dot" w:pos="9354"/>
        </w:tabs>
      </w:pPr>
      <w:hyperlink w:anchor="sec-1" w:history="1">
        <w:r>
          <w:rPr>
            <w:color w:val="000000"/>
            <w:u w:val="none"/>
            <w:rStyle w:val="Hyperlink"/>
          </w:rPr>
          <w:t>ВВЕДЕНИЕ</w:t>
        </w:r>
      </w:hyperlink>
      <w:r>
        <w:tab/>
      </w:r>
      <w:r>
        <w:rPr>
          <w:shd w:val="clear" w:color="auto" w:fill="FFFFFF"/>
        </w:rPr>
        <w:fldChar w:fldCharType="begin"/>
      </w:r>
      <w:r>
        <w:rPr>
          <w:shd w:val="clear" w:color="auto" w:fill="FFFFFF"/>
        </w:rPr>
        <w:instrText xml:space="preserve"> PAGEREF sec-1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2" w:history="1">
        <w:r>
          <w:rPr>
            <w:color w:val="000000"/>
            <w:u w:val="none"/>
            <w:rStyle w:val="Hyperlink"/>
          </w:rPr>
          <w:t>1. Теоретические основы стандартизации</w:t>
        </w:r>
      </w:hyperlink>
      <w:r>
        <w:tab/>
      </w:r>
      <w:r>
        <w:rPr>
          <w:shd w:val="clear" w:color="auto" w:fill="FFFFFF"/>
        </w:rPr>
        <w:fldChar w:fldCharType="begin"/>
      </w:r>
      <w:r>
        <w:rPr>
          <w:shd w:val="clear" w:color="auto" w:fill="FFFFFF"/>
        </w:rPr>
        <w:instrText xml:space="preserve"> PAGEREF sec-2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1" w:history="1">
        <w:r>
          <w:rPr>
            <w:color w:val="000000"/>
            <w:u w:val="none"/>
            <w:rStyle w:val="Hyperlink"/>
          </w:rPr>
          <w:t>1.1. История и эволюция ГОСТ</w:t>
        </w:r>
      </w:hyperlink>
      <w:r>
        <w:tab/>
      </w:r>
      <w:r>
        <w:rPr>
          <w:shd w:val="clear" w:color="auto" w:fill="FFFFFF"/>
        </w:rPr>
        <w:fldChar w:fldCharType="begin"/>
      </w:r>
      <w:r>
        <w:rPr>
          <w:shd w:val="clear" w:color="auto" w:fill="FFFFFF"/>
        </w:rPr>
        <w:instrText xml:space="preserve"> PAGEREF sec-2-1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2" w:history="1">
        <w:r>
          <w:rPr>
            <w:color w:val="000000"/>
            <w:u w:val="none"/>
            <w:rStyle w:val="Hyperlink"/>
          </w:rPr>
          <w:t>1.2. Международный опыт в области стандартов</w:t>
        </w:r>
      </w:hyperlink>
      <w:r>
        <w:tab/>
      </w:r>
      <w:r>
        <w:rPr>
          <w:shd w:val="clear" w:color="auto" w:fill="FFFFFF"/>
        </w:rPr>
        <w:fldChar w:fldCharType="begin"/>
      </w:r>
      <w:r>
        <w:rPr>
          <w:shd w:val="clear" w:color="auto" w:fill="FFFFFF"/>
        </w:rPr>
        <w:instrText xml:space="preserve"> PAGEREF sec-2-2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2-3" w:history="1">
        <w:r>
          <w:rPr>
            <w:color w:val="000000"/>
            <w:u w:val="none"/>
            <w:rStyle w:val="Hyperlink"/>
          </w:rPr>
          <w:t>1.3. Принципы современной стандартизации</w:t>
        </w:r>
      </w:hyperlink>
      <w:r>
        <w:tab/>
      </w:r>
      <w:r>
        <w:rPr>
          <w:shd w:val="clear" w:color="auto" w:fill="FFFFFF"/>
        </w:rPr>
        <w:fldChar w:fldCharType="begin"/>
      </w:r>
      <w:r>
        <w:rPr>
          <w:shd w:val="clear" w:color="auto" w:fill="FFFFFF"/>
        </w:rPr>
        <w:instrText xml:space="preserve"> PAGEREF sec-2-3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3" w:history="1">
        <w:r>
          <w:rPr>
            <w:color w:val="000000"/>
            <w:u w:val="none"/>
            <w:rStyle w:val="Hyperlink"/>
          </w:rPr>
          <w:t>2. Критический анализ системы ГОСТ и перспективы замены</w:t>
        </w:r>
      </w:hyperlink>
      <w:r>
        <w:tab/>
      </w:r>
      <w:r>
        <w:rPr>
          <w:shd w:val="clear" w:color="auto" w:fill="FFFFFF"/>
        </w:rPr>
        <w:fldChar w:fldCharType="begin"/>
      </w:r>
      <w:r>
        <w:rPr>
          <w:shd w:val="clear" w:color="auto" w:fill="FFFFFF"/>
        </w:rPr>
        <w:instrText xml:space="preserve"> PAGEREF sec-3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1" w:history="1">
        <w:r>
          <w:rPr>
            <w:color w:val="000000"/>
            <w:u w:val="none"/>
            <w:rStyle w:val="Hyperlink"/>
          </w:rPr>
          <w:t>2.1. Выявление устаревших положений ГОСТ</w:t>
        </w:r>
      </w:hyperlink>
      <w:r>
        <w:tab/>
      </w:r>
      <w:r>
        <w:rPr>
          <w:shd w:val="clear" w:color="auto" w:fill="FFFFFF"/>
        </w:rPr>
        <w:fldChar w:fldCharType="begin"/>
      </w:r>
      <w:r>
        <w:rPr>
          <w:shd w:val="clear" w:color="auto" w:fill="FFFFFF"/>
        </w:rPr>
        <w:instrText xml:space="preserve"> PAGEREF sec-3-1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2" w:history="1">
        <w:r>
          <w:rPr>
            <w:color w:val="000000"/>
            <w:u w:val="none"/>
            <w:rStyle w:val="Hyperlink"/>
          </w:rPr>
          <w:t>2.2. Сравнительный анализ с ISO и IEC</w:t>
        </w:r>
      </w:hyperlink>
      <w:r>
        <w:tab/>
      </w:r>
      <w:r>
        <w:rPr>
          <w:shd w:val="clear" w:color="auto" w:fill="FFFFFF"/>
        </w:rPr>
        <w:fldChar w:fldCharType="begin"/>
      </w:r>
      <w:r>
        <w:rPr>
          <w:shd w:val="clear" w:color="auto" w:fill="FFFFFF"/>
        </w:rPr>
        <w:instrText xml:space="preserve"> PAGEREF sec-3-2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3" w:history="1">
        <w:r>
          <w:rPr>
            <w:color w:val="000000"/>
            <w:u w:val="none"/>
            <w:rStyle w:val="Hyperlink"/>
          </w:rPr>
          <w:t>2.3. Обоснование альтернативных механизмов</w:t>
        </w:r>
      </w:hyperlink>
      <w:r>
        <w:tab/>
      </w:r>
      <w:r>
        <w:rPr>
          <w:shd w:val="clear" w:color="auto" w:fill="FFFFFF"/>
        </w:rPr>
        <w:fldChar w:fldCharType="begin"/>
      </w:r>
      <w:r>
        <w:rPr>
          <w:shd w:val="clear" w:color="auto" w:fill="FFFFFF"/>
        </w:rPr>
        <w:instrText xml:space="preserve"> PAGEREF sec-3-3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left="720"/>
        <w:tabs>
          <w:tab w:val="right" w:leader="dot" w:pos="9354"/>
        </w:tabs>
      </w:pPr>
      <w:hyperlink w:anchor="sec-3-4" w:history="1">
        <w:r>
          <w:rPr>
            <w:color w:val="000000"/>
            <w:u w:val="none"/>
            <w:rStyle w:val="Hyperlink"/>
          </w:rPr>
          <w:t>2.4. Экономические и социальные эффекты модернизации</w:t>
        </w:r>
      </w:hyperlink>
      <w:r>
        <w:tab/>
      </w:r>
      <w:r>
        <w:rPr>
          <w:shd w:val="clear" w:color="auto" w:fill="FFFFFF"/>
        </w:rPr>
        <w:fldChar w:fldCharType="begin"/>
      </w:r>
      <w:r>
        <w:rPr>
          <w:shd w:val="clear" w:color="auto" w:fill="FFFFFF"/>
        </w:rPr>
        <w:instrText xml:space="preserve"> PAGEREF sec-3-4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sec-4" w:history="1">
        <w:r>
          <w:rPr>
            <w:color w:val="000000"/>
            <w:u w:val="none"/>
            <w:rStyle w:val="Hyperlink"/>
          </w:rPr>
          <w:t>ЗАКЛЮЧЕНИЕ</w:t>
        </w:r>
      </w:hyperlink>
      <w:r>
        <w:tab/>
      </w:r>
      <w:r>
        <w:rPr>
          <w:shd w:val="clear" w:color="auto" w:fill="FFFFFF"/>
        </w:rPr>
        <w:fldChar w:fldCharType="begin"/>
      </w:r>
      <w:r>
        <w:rPr>
          <w:shd w:val="clear" w:color="auto" w:fill="FFFFFF"/>
        </w:rPr>
        <w:instrText xml:space="preserve"> PAGEREF sec-4 \h </w:instrText>
      </w:r>
      <w:r>
        <w:rPr>
          <w:shd w:val="clear" w:color="auto" w:fill="FFFFFF"/>
        </w:rPr>
        <w:fldChar w:fldCharType="separate"/>
      </w:r>
      <w:r>
        <w:rPr>
          <w:shd w:val="clear" w:color="auto" w:fill="FFFFFF"/>
        </w:rPr>
        <w:t>1</w:t>
      </w:r>
      <w:r>
        <w:rPr>
          <w:shd w:val="clear" w:color="auto" w:fill="FFFFFF"/>
        </w:rPr>
        <w:fldChar w:fldCharType="end"/>
      </w:r>
    </w:p>
    <w:p>
      <w:pPr>
        <w:jc w:val="left"/>
        <w:ind w:firstLine="0"/>
        <w:tabs>
          <w:tab w:val="right" w:leader="dot" w:pos="9354"/>
        </w:tabs>
      </w:pPr>
      <w:hyperlink w:anchor="bibliography" w:history="1">
        <w:r>
          <w:rPr>
            <w:color w:val="000000"/>
            <w:u w:val="none"/>
            <w:rStyle w:val="Hyperlink"/>
          </w:rPr>
          <w:t>СПИСОК ИСПОЛЬЗОВАННЫХ ИСТОЧНИКОВ</w:t>
        </w:r>
      </w:hyperlink>
      <w:r>
        <w:tab/>
      </w:r>
      <w:r>
        <w:rPr>
          <w:shd w:val="clear" w:color="auto" w:fill="FFFFFF"/>
        </w:rPr>
        <w:fldChar w:fldCharType="begin"/>
      </w:r>
      <w:r>
        <w:rPr>
          <w:shd w:val="clear" w:color="auto" w:fill="FFFFFF"/>
        </w:rPr>
        <w:instrText xml:space="preserve"> PAGEREF bibliography \h </w:instrText>
      </w:r>
      <w:r>
        <w:rPr>
          <w:shd w:val="clear" w:color="auto" w:fill="FFFFFF"/>
        </w:rPr>
        <w:fldChar w:fldCharType="separate"/>
      </w:r>
      <w:r>
        <w:rPr>
          <w:shd w:val="clear" w:color="auto" w:fill="FFFFFF"/>
        </w:rPr>
        <w:t>1</w:t>
      </w:r>
      <w:r>
        <w:rPr>
          <w:shd w:val="clear" w:color="auto" w:fill="FFFFFF"/>
        </w:rPr>
        <w:fldChar w:fldCharType="end"/>
      </w:r>
    </w:p>
    <w:p>
      <w:pPr>
        <w:sectPr>
          <w:footerReference w:type="default" r:id="rId10"/>
          <w:pgSz w:w="11906" w:h="16838" w:orient="portrait"/>
          <w:pgMar w:top="1134" w:right="851" w:bottom="1134" w:left="1701" w:header="708" w:footer="708" w:gutter="0"/>
          <w:type w:val="nextPage"/>
        </w:sectPr>
      </w:pPr>
    </w:p>
    <w:bookmarkEnd w:id="20"/>
    <w:bookmarkStart w:id="23" w:name="sec-1"/>
    <w:p>
      <w:pPr>
        <w:spacing w:line="360" w:lineRule="auto" w:after="50" w:afterAutospacing="0" w:beforeAutospacing="0"/>
        <w:pStyle w:val="Heading1"/>
      </w:pPr>
      <w:r>
        <w:t xml:space="preserve">ВВЕДЕНИЕ</w:t>
      </w:r>
    </w:p>
    <w:p>
      <w:pPr>
        <w:pStyle w:val="FirstParagraph"/>
      </w:pPr>
      <w:r>
        <w:rPr>
          <w:bCs/>
          <w:b/>
        </w:rPr>
        <w:t xml:space="preserve">Актуальность</w:t>
      </w:r>
      <w:r>
        <w:t xml:space="preserve"> </w:t>
      </w:r>
      <w:r>
        <w:t xml:space="preserve">Современная экономика требует гибких и эффективных систем стандартизации, способных адаптироваться к быстро меняющимся технологиям и рыночным условиям. В этом контексте сохраняющаяся зависимость от устаревших Государственных стандартов (ГОСТ) становится серьезным барьером для инновационного развития и международной интеграции. Проблема устаревания ГОСТ является острой, поскольку напрямую влияет на качество продукции, конкурентоспособность предприятий и темпы технологического прогресса.</w:t>
      </w:r>
    </w:p>
    <w:p>
      <w:pPr>
        <w:pStyle w:val="BodyText"/>
      </w:pPr>
      <w:r>
        <w:rPr>
          <w:bCs/>
          <w:b/>
        </w:rPr>
        <w:t xml:space="preserve">Объект и предмет изучения</w:t>
      </w:r>
      <w:r>
        <w:t xml:space="preserve"> </w:t>
      </w:r>
      <w:r>
        <w:t xml:space="preserve">Объектом данного исследования является система государственных стандартов в Российской Федерации. Предметом исследования выступают причины устаревания ГОСТ, их влияние на социально-экономические процессы и потенциальные пути модернизации или замены существующей системы стандартизации на более актуальные и эффективные модели.</w:t>
      </w:r>
    </w:p>
    <w:p>
      <w:pPr>
        <w:pStyle w:val="BodyText"/>
      </w:pPr>
      <w:r>
        <w:rPr>
          <w:bCs/>
          <w:b/>
        </w:rPr>
        <w:t xml:space="preserve">Гипотеза</w:t>
      </w:r>
      <w:r>
        <w:t xml:space="preserve"> </w:t>
      </w:r>
      <w:r>
        <w:t xml:space="preserve">Предполагается, что существенное количество действующих ГОСТ не соответствует текущим мировым технологическим стандартам и инновационным требованиям, что ведет к замедлению развития отечественной промышленности и снижению конкурентоспособности, а их замена на адаптированные международные стандарты или новые национальные разработки позволит стимулировать экономический рост и инновации.</w:t>
      </w:r>
    </w:p>
    <w:p>
      <w:pPr>
        <w:pStyle w:val="BodyText"/>
      </w:pPr>
      <w:r>
        <w:rPr>
          <w:bCs/>
          <w:b/>
        </w:rPr>
        <w:t xml:space="preserve">Задачи</w:t>
      </w:r>
      <w:r>
        <w:t xml:space="preserve"> </w:t>
      </w:r>
      <w:r>
        <w:t xml:space="preserve">Для достижения поставленной цели необходимо решить ряд задач: проанализировать историю и текущее состояние системы ГОСТ; выявить основные причины устаревания государственных стандартов; провести сравнительный анализ ГОСТ с ведущими международными аналогами; определить социально-экономические последствия применения устаревших норм; а также разработать конкретные рекомендации по внедрению новых подходов к стандартизации.</w:t>
      </w:r>
    </w:p>
    <w:p>
      <w:pPr>
        <w:pStyle w:val="BodyText"/>
      </w:pPr>
      <w:r>
        <w:rPr>
          <w:bCs/>
          <w:b/>
        </w:rPr>
        <w:t xml:space="preserve">Методы</w:t>
      </w:r>
      <w:r>
        <w:t xml:space="preserve"> </w:t>
      </w:r>
      <w:r>
        <w:t xml:space="preserve">В работе будут использованы общенаучные методы исследования, включая системный анализ, сравнительный анализ, исторический подход, а также метод экспертных оценок. Эти методы позволят всесторонне изучить проблему, выявить причинно-следственные связи и обосновать предлагаемые решения.</w:t>
      </w:r>
    </w:p>
    <w:p>
      <w:pPr>
        <w:pStyle w:val="BodyText"/>
      </w:pPr>
      <w:r>
        <w:rPr>
          <w:bCs/>
          <w:b/>
        </w:rPr>
        <w:t xml:space="preserve">Теоретическая и практическая значимость</w:t>
      </w:r>
      <w:r>
        <w:t xml:space="preserve"> </w:t>
      </w:r>
      <w:r>
        <w:t xml:space="preserve">Теоретическая значимость исследования заключается в систематизации знаний об эволюции и проблемах стандартизации в условиях глобализации. Практическая значимость работы состоит в разработке конкретных рекомендаций, которые могут быть использованы органами государственной власти и регулирующими организациями для реформирования системы стандартизации, что поспособствует повышению качества отечественной продукции и ее конкурентоспособности на мировых рынках.</w:t>
      </w:r>
    </w:p>
    <w:p>
      <w:r>
        <w:br w:type="page"/>
      </w:r>
    </w:p>
    <w:bookmarkStart w:id="21" w:name="sec-2"/>
    <w:p>
      <w:pPr>
        <w:spacing w:line="360" w:lineRule="auto" w:after="40" w:afterAutospacing="0" w:beforeAutospacing="0"/>
        <w:pStyle w:val="Heading2"/>
      </w:pPr>
      <w:r>
        <w:t xml:space="preserve">1. Теоретические основы стандартизации</w:t>
      </w:r>
    </w:p>
    <w:p>
      <w:pPr>
        <w:spacing w:line="360" w:lineRule="auto" w:after="40" w:afterAutospacing="0" w:beforeAutospacing="0"/>
        <w:pStyle w:val="Heading3"/>
        <w:jc w:val="left"/>
        <w:ind w:firstLine="709"/>
      </w:pPr>
      <w:bookmarkStart w:id="1001" w:name="sec-2-1"/>
      <w:r>
        <w:rPr>
          <w:b/>
          <w:caps w:val="0"/>
          <w:smallCaps w:val="0"/>
        </w:rPr>
        <w:t>1.1. История и эволюция ГОСТ</w:t>
      </w:r>
      <w:bookmarkEnd w:id="1001"/>
    </w:p>
    <w:p>
      <w:pPr>
        <w:pStyle w:val="FirstParagraph"/>
      </w:pPr>
      <w:r>
        <w:t xml:space="preserve">История государственной стандартизации в России является неотъемлемой частью индустриального и технологического развития страны, отражая эволюцию социально-экономических формаций и производственных отношений. Несмотря на то что термин «ГОСТ» ассоциируется преимущественно с советским периодом, предпосылки к унификации и регулированию производственных процессов возникли задолго до этого. В дореволюционной России стандартизация носила разрозненный характер и преимущественно осуществлялась отраслевыми ассоциациями, крупными промышленными предприятиями и государственными ведомствами для конкретных нужд, таких как железнодорожное строительство, военная промышленность и телекоммуникации. Однако централизованная и унифицированная система, охватывающая все сферы народного хозяйства, отсутствовала.</w:t>
      </w:r>
    </w:p>
    <w:p>
      <w:pPr>
        <w:pStyle w:val="BodyText"/>
      </w:pPr>
      <w:r>
        <w:t xml:space="preserve">Системный подход к стандартизации был заложен после Октябрьской революции. Осознание необходимости единых стандартов для восстановления и развития разрушенной гражданской войной промышленности привело к созданию в 1925 году Комитета по стандартизации при Совете Труда и Обороны СССР, позднее переименованного во Всесоюзный комитет по стандартизации (ВКС). Именно тогда были введены первые Общесоюзные стандарты (ОСТ), которые стали предтечей ГОСТ. ОСТы формировали единую техническую политику, обеспечивали взаимозаменяемость деталей и узлов, что было критически важно в условиях ускоренной индустриализации и массового производства. Основной целью на этом этапе было создание унифицированной производственной базы для всех отраслей экономики, что способствовало повышению эффективности, сокращению издержек и улучшению качества продукции в рамках плановой системы.</w:t>
      </w:r>
    </w:p>
    <w:p>
      <w:pPr>
        <w:pStyle w:val="BodyText"/>
      </w:pPr>
      <w:r>
        <w:t xml:space="preserve">Наиболее значительный этап в развитии советской стандартизации начался с введением в действие Государственных общесоюзных стандартов (ГОСТ) в 1940 году. Эта система стала всеобъемлющей, обязательной для всех предприятий и организаций Советского Союза, независимо от их ведомственной принадлежности. Вторая мировая война и последующее послевоенное восстановление лишь укрепили роль ГОСТ, поскольку стандарты были жизненно необходимы для быстрого наращивания промышленного производства, обеспечения высокого качества военной техники и снабжения населения. В послевоенные годы система ГОСТ активно развивалась, охватывая все новые виды продукции, технологические процессы, методы испытаний и требования к качеству. Стандарты разрабатывались научными учреждениями, конструкторскими бюро и ведущими предприятиями, а их соблюдение строго контролировалось государственными органами.</w:t>
      </w:r>
    </w:p>
    <w:p>
      <w:pPr>
        <w:pStyle w:val="BodyText"/>
      </w:pPr>
      <w:r>
        <w:t xml:space="preserve">В период научно-технической революции 1960-1980-х годов система ГОСТ столкнулась с вызовами, связанными с быстрым развитием новых технологий и необходимостью их внедрения. Была предпринята попытка адаптации системы к новым реалиям, в том числе через унификацию с международными стандартами (ISO, IEC) в определенных отраслях, но в целом система оставалась относительно закрытой и медленно реагирующей на мировые изменения. Плановая экономика и отсутствие конкуренции на внутреннем рынке привели к тому, что ГОСТ часто ориентировался не столько на удовлетворение потребностей потребителя или на достижение передовых мировых показателей, сколько на оптимизацию производства в рамках централизованного планирования. Это создавало основу для будущего отставания ряда стандартов от мирового уровня.</w:t>
      </w:r>
    </w:p>
    <w:p>
      <w:pPr>
        <w:pStyle w:val="BodyText"/>
      </w:pPr>
      <w:r>
        <w:t xml:space="preserve">С началом перестройки и распадом СССР в начале 1990-х годов система ГОСТ пережила глубокий кризис. Переход к рыночной экономике привел к упразднению многих директивных механизмов управления, что значительно ослабило централизованный контроль за соблюдением стандартов [2]. Часть ГОСТов была отменена, другие утратили обязательный характер и применялись на добровольной основе. Возникла острая необходимость в формировании новой национальной системы стандартизации, соответствующей рыночным условиям и международным требованиям. В это время в России начал активно использоваться механизм технических регламентов и добровольных стандартов [2], а также стала очевидной проблема гармонизации национальных стандартов с международными аналогами, такими как стандарты ISO и IEC.</w:t>
      </w:r>
    </w:p>
    <w:p>
      <w:pPr>
        <w:pStyle w:val="BodyText"/>
      </w:pPr>
      <w:r>
        <w:t xml:space="preserve">Современный этап эволюции российской стандартизации связан с реформированием системы технического регулирования. Федеральный закон «О техническом регулировании» 2002 года закрепил принцип добровольности применения стандартов и разделил документы на две категории: обязательные технические регламенты (ТР ТС/ЕАЭС), устанавливающие минимально необходимые требования безопасности, и добровольные стандарты (ГОСТ Р), которые могут применяться для подтверждения соответствия. Это было сделано для стимулирования инноваций и снятия излишних барьеров для бизнеса, в то же время обеспечивая защиту потребителей и окружающей среды. Однако наследие советской системы, включающее тысячи действующих ГОСТов, многие из которых были разработаны десятилетия назад и не пересматривались должным образом [3], остается существенным вызовом. Часть этих стандартов продолжает применяться, но их актуальность и соответствие современным технологическим реалиям и рыночным условиям вызывают серьезные вопросы, что делает их устаревание предметом данного исследования. Таким образом, эволюция ГОСТ отражает сложный путь от директивной, централизованной системы к гибридной модели, которая, несмотря на значительные реформы, все еще испытывает давление исторического наследия и требует дальнейшей модернизации и адаптации.</w:t>
      </w:r>
    </w:p>
    <w:p>
      <w:pPr>
        <w:spacing w:line="360" w:lineRule="auto" w:after="40" w:afterAutospacing="0" w:beforeAutospacing="0"/>
        <w:pStyle w:val="Heading3"/>
        <w:jc w:val="left"/>
        <w:ind w:firstLine="709"/>
      </w:pPr>
      <w:bookmarkStart w:id="1002" w:name="sec-2-2"/>
      <w:r>
        <w:rPr>
          <w:b/>
          <w:caps w:val="0"/>
          <w:smallCaps w:val="0"/>
        </w:rPr>
        <w:t>1.2. Международный опыт в области стандартов</w:t>
      </w:r>
      <w:bookmarkEnd w:id="1002"/>
    </w:p>
    <w:p>
      <w:pPr>
        <w:pStyle w:val="BodyText"/>
      </w:pPr>
      <w:r>
        <w:t xml:space="preserve">Международный опыт в области стандартизации представляет собой краеугольный камень для понимания современных принципов и методов разработки норм, отвечающих вызовам глобализированной экономики и технологического прогресса. В условиях, когда национальные экономики тесно взаимосвязаны, а товары и услуги пересекают границы с беспрецедентной скоростью, необходимость в гармонизированных и унифицированных стандартах [7] становится императивом. Эти стандарты призваны устранять технические барьеры в торговле, обеспечивать взаимозаменяемость продукции, повышать ее качество и безопасность, а также способствовать эффективному обмену технологиями и знаниями.</w:t>
      </w:r>
    </w:p>
    <w:p>
      <w:pPr>
        <w:pStyle w:val="BodyText"/>
      </w:pPr>
      <w:r>
        <w:t xml:space="preserve">Основными акторами в сфере международной стандартизации являются три ключевые организации: Международная организация по стандартизации (ISO), Международная электротехническая комиссия (IEC) и Международный союз электросвязи (ITU). Каждая из них специализируется на определенных областях, но их деятельность тесно координируется для создания комплексной и непротиворечивой системы международных стандартов.</w:t>
      </w:r>
    </w:p>
    <w:p>
      <w:pPr>
        <w:pStyle w:val="BodyText"/>
      </w:pPr>
      <w:r>
        <w:t xml:space="preserve">Международная организация по стандартизации (ISO) является, пожалуй, наиболее известной и влиятельной. Основанная в 1947 году, она объединяет национальные органы по стандартизации из более чем 160 стран. Миссия ISO заключается в разработке и публикации добровольных международных стандартов, которые способствуют инновациям и обеспечивают решения глобальных задач. Стандарты ISO охватывают широкий спектр отраслей, от сельского хозяйства и строительства до механики, медицины и информационных технологий. Примерами широко известных стандартов являются ISO 9001 (системы менеджмента качества), ISO 14001 (системы экологического менеджмента) и ISO 27001 (системы менеджмента информационной безопасности). Процесс разработки стандартов ISO основан на консенсусе экспертов со всего мира, представляющих различные заинтересованные стороны: производителей, потребителей, государственных органов, академических кругов и неправительственных организаций. Это обеспечивает их актуальность, релевантность рыночным потребностям и широкий уровень принятия.</w:t>
      </w:r>
    </w:p>
    <w:p>
      <w:pPr>
        <w:pStyle w:val="BodyText"/>
      </w:pPr>
      <w:r>
        <w:t xml:space="preserve">Международная электротехническая комиссия (IEC), учрежденная в 1906 году, является ведущей мировой организацией по разработке международных стандартов для всех электрических, электронных и связанных с ними технологий. Ее работа критически важна для таких областей, как производство энергии, электроника, телекоммуникации, информационные технологии, транспорт, бытовая техника и здравоохранение. Стандарты IEC обеспечивают безопасность, эффективность и взаимозаменяемость продуктов и систем в этой динамично развивающейся сфере, позволяя инновациям быстро распространяться по всему миру. Сфера деятельности IEC в значительной степени пересекается с ISO, и для обеспечения гармонизации и предотвращения дублирования усилий две организации активно сотрудничают, особенно в области информационных технологий (через объединенный технический комитет ISO/IEC JTC 1).</w:t>
      </w:r>
    </w:p>
    <w:p>
      <w:pPr>
        <w:pStyle w:val="BodyText"/>
      </w:pPr>
      <w:r>
        <w:t xml:space="preserve">Международный союз электросвязи (ITU) – это специализированное учреждение Организации Объединенных Наций, занимающееся вопросами информационно-коммуникационных технологий (ИКТ). Основанный в 1865 году, ITU является старейшей международной организацией по стандартизации. Он координирует глобальное совместное использование радиочастотного спектра, содействует международному сотрудничеству в присвоении спутниковых орбит, работает над улучшением инфраструктуры электросвязи в развивающихся странах и устанавливает всемирные стандарты, обеспечивающие бесперебойное взаимосоединение широкого диапазона систем связи. Деятельность ITU охватывает фиксированную и мобильную связь, широкополосный доступ, интернет-протоколы и новые технологии, такие как 5G и искусственный интеллект, обеспечивая универсальный доступ к ИКТ.</w:t>
      </w:r>
    </w:p>
    <w:p>
      <w:pPr>
        <w:pStyle w:val="BodyText"/>
      </w:pPr>
      <w:r>
        <w:t xml:space="preserve">Общие принципы, лежащие в основе деятельности этих международных организаций, включают: открытость и прозрачность процесса разработки стандартов, участие всех заинтересованных сторон, консенсус в принятии решений, релевантность рынку, технологическую нейтральность и актуальность. Эти принципы гарантируют, что международные стандарты являются добровольными, гибкими и способными адаптироваться к изменяющимся технологиям и потребностям рынка. Они отражают наилучшие практики и знания, накопленные глобальным сообществом экспертов, и постоянно пересматриваются, чтобы оставаться современными и эффективными.</w:t>
      </w:r>
    </w:p>
    <w:p>
      <w:pPr>
        <w:pStyle w:val="BodyText"/>
      </w:pPr>
      <w:r>
        <w:t xml:space="preserve">Принятие международных стандартов национальными системами стандартизации приносит многочисленные выгоды. Во-первых, оно упрощает доступ национальной продукции на мировые рынки, поскольку соответствие международным нормам служит универсальным доказательством качества и безопасности. Во-вторых, способствует унификации технических требований, что снижает затраты на производство и стимулирует инновации за счет возможности использования общих компонентов и технологий. В-третьих, международные стандарты служат основой для обеспечения интероперабельности – способности различных систем и продуктов работать вместе, что критически важно в таких областях, как ИТ, телекоммуникации и транспорт. Они также повышают доверие потребителей и регулирующих органов к продукции, произведенной с их учетом, за счет демонстрации соответствия глобально признанным критериям качества и безопасности. Таким образом, международный опыт стандартизации демонстрирует модель динамичной, гибкой и рыночно ориентированной системы, способной эффективно поддерживать экономический рост и технологическое развитие.</w:t>
      </w:r>
    </w:p>
    <w:p>
      <w:pPr>
        <w:spacing w:line="360" w:lineRule="auto" w:after="40" w:afterAutospacing="0" w:beforeAutospacing="0"/>
        <w:pStyle w:val="Heading3"/>
        <w:jc w:val="left"/>
        <w:ind w:firstLine="709"/>
      </w:pPr>
      <w:bookmarkStart w:id="1003" w:name="sec-2-3"/>
      <w:r>
        <w:rPr>
          <w:b/>
          <w:caps w:val="0"/>
          <w:smallCaps w:val="0"/>
        </w:rPr>
        <w:t>1.3. Принципы современной стандартизации</w:t>
      </w:r>
      <w:bookmarkEnd w:id="1003"/>
    </w:p>
    <w:p>
      <w:pPr>
        <w:pStyle w:val="BodyText"/>
      </w:pPr>
      <w:r>
        <w:t xml:space="preserve">Современная стандартизация представляет собой динамический и многогранный процесс, который значительно эволюционировал с течением времени. В отличие от традиционных подходов, зачастую характеризующихся жесткостью и директивностью, принципы современной стандартизации направлены на обеспечение гибкости, актуальности и глобальной совместимости [2]. Ее основная цель заключается в стимулировании технологического прогресса, повышении качества и безопасности продукции, содействии международной торговле и поддержке устойчивого развития экономики. Эти принципы критически важны для функционирования любой инновационной и конкурентоспособной экономики, становясь основой для эффективного регулирования и развития.</w:t>
      </w:r>
    </w:p>
    <w:p>
      <w:pPr>
        <w:pStyle w:val="BodyText"/>
      </w:pPr>
      <w:r>
        <w:t xml:space="preserve">Одним из ключевых принципов является добровольность применения стандартов. В большинстве развитых стран и на международном уровне, включая такие организации, как ISO и IEC, стандарты носят рекомендательный характер [2]. Это означает, что субъекты рынка самостоятельно принимают решение о соблюдении тех или иных нормативов. Такой подход способствует рыночной гибкости, стимулирует конкуренцию и инновации, поскольку компании могут выбирать наиболее оптимальные для себя решения, соответствующие базовым требованиям качества и безопасности, или даже разрабатывать собственные, более продвинутые подходы. Однако важно отметить, что в определенных регулируемых отраслях (например, здравоохранение, экологическая безопасность) отдельные положения стандартов могут быть интегрированы в законодательство и, таким образом, стать обязательными. Тем не менее, общая тенденция к добровольности остается превалирующей, особенно в сравнении с исторически директивной системой Государственных стандартов (ГОСТ) [1].</w:t>
      </w:r>
    </w:p>
    <w:p>
      <w:pPr>
        <w:pStyle w:val="BodyText"/>
      </w:pPr>
      <w:r>
        <w:t xml:space="preserve">Принцип консенсуса лежит в основе разработки большинства современных стандартов. Это означает, что создание нового стандарта или пересмотр существующего осуществляется при участии широкого круга заинтересованных сторон: производителей, потребителей, государственных органов, научных кругов, представителей малого и среднего бизнеса, а также общественных организаций. Процесс разработки должен обеспечивать учет разнообразных точек зрения и потребностей, чтобы финальный документ был максимально сбалансированным, объективным и широко приемлемым. Консенсус достигается не путем простого большинства голосов, а посредством поиска решений, которые устраивают существенную часть всех участников процесса, с минимизацией возражений. Такой всеобъемлющий подход значительно повышает легитимность стандартов и их практическую применимость, избегая доминирования интересов какой-либо одной группы.</w:t>
      </w:r>
    </w:p>
    <w:p>
      <w:pPr>
        <w:pStyle w:val="BodyText"/>
      </w:pPr>
      <w:r>
        <w:t xml:space="preserve">Рыночная ориентация и своевременность являются неотъемлемыми характеристиками современных стандартов. Стандарты должны отвечать актуальным потребностям рынка, отражать передовые технологические достижения и экономические реалии, а не становиться барьером для развития [3]. Это требует постоянного мониторинга технологических тенденций и экономических изменений. Процессы разработки и актуализации стандартов должны быть достаточно оперативными, чтобы поспевать за инновациями, а также предусматривать регулярный пересмотр действующих документов. Цель состоит в том, чтобы стандарты стимулировали инновации и конкуренцию, а не замораживали существующие подходы.</w:t>
      </w:r>
    </w:p>
    <w:p>
      <w:pPr>
        <w:pStyle w:val="BodyText"/>
      </w:pPr>
      <w:r>
        <w:t xml:space="preserve">Принцип гармонизации и международной применимости приобретает критическое значение в условиях глобализации мировой экономики. Современные стандарты стремятся к максимальной совместимости или идентичности с международными аналогами (такими как ISO, IEC) или ведущими национальными стандартами других стран. Это значительно облегчает международную торговлю, снижает технические барьеры, способствует трансферу технологий и обеспечивает интеграцию национальных экономик в мировую систему. Гармонизация также позволяет избегать дублирования усилий и использования неэффективных, узконациональных решений, которые могут препятствовать экспорту и импорту продукции.</w:t>
      </w:r>
    </w:p>
    <w:p>
      <w:pPr>
        <w:pStyle w:val="BodyText"/>
      </w:pPr>
      <w:r>
        <w:t xml:space="preserve">Прозрачность и открытость процесса стандартизации также являются ключевыми принципами. Информация о разрабатываемых стандартах, их текущих версиях, стадиях принятия, а также о принятых документах должна быть легко доступна для всех заинтересованных сторон и широкой общественности. Такая открытость позволяет любому участнику процесса выражать свои замечания и предложения, а также заблаговременно готовиться к возможным изменениям. Прозрачность снижает риски коррупции, лоббирования узких интересов и повышает доверие к системе стандартизации в целом.</w:t>
      </w:r>
    </w:p>
    <w:p>
      <w:pPr>
        <w:pStyle w:val="BodyText"/>
      </w:pPr>
      <w:r>
        <w:t xml:space="preserve">Эффективность и результативность стандартов означают, что они должны быть максимально простыми в применении и экономически обоснованными. Современные стандарты зачастую являются функциональными или ориентированными на производительность (performance-based standards), то есть они устанавливают требования к конечным результатам или характеристикам продукции/процесса, а не к конкретным методам или технологиям их достижения (prescriptive standards). Такой подход предоставляет производителям свободу выбора технологий и решений для выполнения заданных параметров, что способствует инновациям и оптимизации затрат.</w:t>
      </w:r>
    </w:p>
    <w:p>
      <w:pPr>
        <w:pStyle w:val="BodyText"/>
      </w:pPr>
      <w:r>
        <w:t xml:space="preserve">Принцип технологической нейтральности предполагает, что стандарты, по возможности, не должны отдавать предпочтение какой-либо одной конкретной технологии. Вместо этого они должны определять функциональные требования, параметры производительности и совместимости, позволяя разработчикам использовать любые технологии, которые способны соответствовать этим требованиям. Это способствует предотвращению быстрого морального устаревания стандартов и обеспечивает их долгосрочную актуальность, адаптируемость к будущим инновациям.</w:t>
      </w:r>
    </w:p>
    <w:p>
      <w:pPr>
        <w:pStyle w:val="BodyText"/>
      </w:pPr>
      <w:r>
        <w:t xml:space="preserve">Наконец, регулярный пересмотр и адаптация стандартов являются неотъемлемой частью их жизненного цикла. В условиях постоянно меняющегося технологического и экономического ландшафта, стандарты требуют постоянной оценки на предмет их актуальности, эффективности и соответствия новым вызовам. Механизмы периодического пересмотра позволяют своевременно вносить необходимые изменения, дополнения или аннулировать устаревшие стандарты, поддерживая всю систему стандартизации в актуальном и работоспособном состоянии.</w:t>
      </w:r>
    </w:p>
    <w:p>
      <w:pPr>
        <w:pStyle w:val="BodyText"/>
      </w:pPr>
      <w:r>
        <w:t xml:space="preserve">В совокупности, эти принципы формируют основу для создания современной, эффективной и инновационной системы стандартизации, способной поддерживать технологическое развитие, стимулировать экономический рост и обеспечивать защиту интересов общества в условиях непрерывных изменений. Отсутствие или недостаточное применение данных принципов в национальных системах, таких как исторически сложившаяся система ГОСТ, может приводить к значительному технологическому и экономическому отставанию, снижению конкурентоспособности и созданию барьеров для дальнейшего развития, что и является одной из центральных проблем, рассматриваемых в данной курсовой работе.</w:t>
      </w:r>
    </w:p>
    <w:p>
      <w:r>
        <w:br w:type="page"/>
      </w:r>
    </w:p>
    <w:bookmarkEnd w:id="21"/>
    <w:bookmarkStart w:id="22" w:name="sec-3"/>
    <w:p>
      <w:pPr>
        <w:spacing w:line="360" w:lineRule="auto" w:after="40" w:afterAutospacing="0" w:beforeAutospacing="0"/>
        <w:pStyle w:val="Heading2"/>
      </w:pPr>
      <w:r>
        <w:t xml:space="preserve">2. Критический анализ системы ГОСТ и перспективы замены</w:t>
      </w:r>
    </w:p>
    <w:p>
      <w:pPr>
        <w:spacing w:line="360" w:lineRule="auto" w:after="40" w:afterAutospacing="0" w:beforeAutospacing="0"/>
        <w:pStyle w:val="Heading3"/>
        <w:jc w:val="left"/>
        <w:ind w:firstLine="709"/>
      </w:pPr>
      <w:bookmarkStart w:id="1004" w:name="sec-3-1"/>
      <w:r>
        <w:rPr>
          <w:b/>
          <w:caps w:val="0"/>
          <w:smallCaps w:val="0"/>
        </w:rPr>
        <w:t>2.1. Выявление устаревших положений ГОСТ</w:t>
      </w:r>
      <w:bookmarkEnd w:id="1004"/>
    </w:p>
    <w:p>
      <w:pPr>
        <w:pStyle w:val="FirstParagraph"/>
      </w:pPr>
      <w:r>
        <w:t xml:space="preserve">Первостепенная задача при критическом анализе системы Государственных стандартов (ГОСТ) заключается в выявлении конкретных положений и требований, которые препятствуют технологическому развитию и экономическому росту Российской Федерации. Строго говоря, устаревание стандартов не является однородным процессом; оно проявляется в различных формах и затрагивает многие аспекты нормативно-технического регулирования. Основа для эффективной модернизации стандартизации кроется в четком определении критериев, по которым можно квалифицировать то или иное положение как неактуальное, не соответствующее современным реалиям.</w:t>
      </w:r>
    </w:p>
    <w:p>
      <w:pPr>
        <w:pStyle w:val="BodyText"/>
      </w:pPr>
      <w:r>
        <w:t xml:space="preserve">Одним из наиболее очевидных проявлений устаревания является</w:t>
      </w:r>
      <w:r>
        <w:t xml:space="preserve"> </w:t>
      </w:r>
      <w:r>
        <w:rPr>
          <w:bCs/>
          <w:b/>
        </w:rPr>
        <w:t xml:space="preserve">технологическая отсталость</w:t>
      </w:r>
      <w:r>
        <w:t xml:space="preserve">. Множество действующих ГОСТов были разработаны в условиях иных технологических укладов, опираясь на материалы, методы производства и испытаний, которые сегодня являются неактуальными, менее эффективными или даже устаревшими. Например, стандарты могут предписывать использование компонентов, производство которых прекращено, или не учитывать появление новых, более эффективных и экологичных аналогов, что ведет к искусственному удорожанию продукции. Требования к точности измерений, методы контроля качества или испытаний часто основаны на оборудовании и подходах, которые значительно уступают современным автоматизированным системам, что, в свою очередь, сказывается на времени и стоимости производства, а также на конкурентоспособности конечного продукта. Такая технологическая инертность напрямую тормозит внедрение инноваций, поскольку производители вынуждены либо соблюдать устаревшие нормы, теряя эффективность, либо искать сложные и порой рискованные пути их обхода.</w:t>
      </w:r>
    </w:p>
    <w:p>
      <w:pPr>
        <w:pStyle w:val="BodyText"/>
      </w:pPr>
      <w:r>
        <w:t xml:space="preserve">Следующим значимым аспектом является</w:t>
      </w:r>
      <w:r>
        <w:t xml:space="preserve"> </w:t>
      </w:r>
      <w:r>
        <w:rPr>
          <w:bCs/>
          <w:b/>
        </w:rPr>
        <w:t xml:space="preserve">методологическое устаревание</w:t>
      </w:r>
      <w:r>
        <w:t xml:space="preserve">. Современные подходы к стандартизации, особенно на международном уровне, акцентируют внимание на процессном подходе, риск-ориентированном мышлении и обеспечении функционального результата, а не на жестком предписании конкретных методов или конструктивных решений. Многие старые ГОСТы, напротив, чрезмерно детализированы и регламентируют «как делать», а не «что должно быть достигнуто» [2]. Такой директивный характер сковывает инициативу предприятий, не позволяя им использовать новые, более гибкие и эффективные методы организации производства, контроля качества и обеспечения безопасности, если эти методы не вписываются в досконально прописанный стандарт. Это также усложняет адаптацию международно признанных систем менеджмента (например, систем менеджмента качества ISO 9001 или систем экологического менеджмента ISO 14001), поскольку их внедрение может вступать в противоречие с конкретными, устаревшими положениями ГОСТ.</w:t>
      </w:r>
    </w:p>
    <w:p>
      <w:pPr>
        <w:pStyle w:val="BodyText"/>
      </w:pPr>
      <w:r>
        <w:rPr>
          <w:bCs/>
          <w:b/>
        </w:rPr>
        <w:t xml:space="preserve">Экономическое устаревание</w:t>
      </w:r>
      <w:r>
        <w:t xml:space="preserve"> </w:t>
      </w:r>
      <w:r>
        <w:t xml:space="preserve">проявляется в том, что некоторые положения ГОСТ приводят к неоправданным затратам и снижению экономической эффективности [3]. Это может быть связано с предписанием избыточных требований к продукции, использованию дорогих или дефицитных материалов там, где существуют более дешевые и адекватные альтернативы, а также с необходимостью проведения чрезмерного количества испытаний или сертификационных процедур. Такие стандарты не только увеличивают себестоимость продукции, но и снижают ее ценовую конкурентоспособность как на внутреннем, так и на внешнем рынках. Более того, они могут создавать нетарифные барьеры для входа новых участников на рынок, препятствуя развитию конкуренции и замедляя инновационные процессы.</w:t>
      </w:r>
    </w:p>
    <w:p>
      <w:pPr>
        <w:pStyle w:val="BodyText"/>
      </w:pPr>
      <w:r>
        <w:t xml:space="preserve">Помимо вышеперечисленного, значительное количество ГОСТов страдает от</w:t>
      </w:r>
      <w:r>
        <w:t xml:space="preserve"> </w:t>
      </w:r>
      <w:r>
        <w:rPr>
          <w:bCs/>
          <w:b/>
        </w:rPr>
        <w:t xml:space="preserve">регуляторной и правовой несогласованности</w:t>
      </w:r>
      <w:r>
        <w:t xml:space="preserve">. Это происходит, когда требования стандарта противоречат новым федеральным законам, техническим регламентам, международным соглашениям или директивам, принятым в рамках интеграционных объединений, таких как Евразийский экономический союз [25]. Отсутствие своевременной актуализации таких стандартов создает правовые коллизии, затрудняет их применение и может приводить к штрафам или отказам в сертификации. Кроме того, старые стандарты часто не учитывают возросшие требования к экологической безопасности, энергоэффективности, информационной безопасности и другим аспектам, которые стали приоритетными в современном мире. Они могут не содержать необходимых положений по утилизации, переработке продукции или регулированию выбросов, что делает их непригодными для использования в контексте современных экологических стандартов и принципов устойчивого развития.</w:t>
      </w:r>
    </w:p>
    <w:p>
      <w:pPr>
        <w:pStyle w:val="BodyText"/>
      </w:pPr>
      <w:r>
        <w:t xml:space="preserve">Наконец,</w:t>
      </w:r>
      <w:r>
        <w:t xml:space="preserve"> </w:t>
      </w:r>
      <w:r>
        <w:rPr>
          <w:bCs/>
          <w:b/>
        </w:rPr>
        <w:t xml:space="preserve">инновационная инерция</w:t>
      </w:r>
      <w:r>
        <w:t xml:space="preserve">, вызванная устаревшими стандартами, является одним из наиболее критических последствий. Жестко предписанные технические решения, отсутствие возможности для использования альтернативных подходов и долгий цикл пересмотра ГОСТов не позволяют отечественным предприятиям быстро внедрять новые, прорывные технологии. Вместо того чтобы стимулировать развитие, стандарты становятся сдерживающим фактором, вынуждая компании ориентироваться на воспроизводство уже существующих решений, в то время как мировые лидеры активно движутся вперед. Это ведет к отставанию всей отрасли и снижению ее глобальной конкурентоспособности.</w:t>
      </w:r>
    </w:p>
    <w:p>
      <w:pPr>
        <w:pStyle w:val="BodyText"/>
      </w:pPr>
      <w:r>
        <w:t xml:space="preserve">Для лучшего понимания различных типов устаревания и их проявлений, можно представить их в следующей таблице:</w:t>
      </w:r>
    </w:p>
    <w:p>
      <w:pPr>
        <w:jc w:val="left"/>
        <w:ind w:firstLine="0"/>
        <w:spacing w:after="120"/>
      </w:pPr>
      <w:r>
        <w:rPr>
          <w:b/>
        </w:rPr>
        <w:t>Таблица 1 – Типы устаревания положений ГОСТ</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2640"/>
        <w:gridCol w:w="2640"/>
        <w:gridCol w:w="2640"/>
      </w:tblGrid>
      <w:tr>
        <w:trPr>
          <w:tblHeader w:val="true"/>
        </w:trPr>
        <w:tc>
          <w:tcPr>
            <w:vAlign w:val="center"/>
          </w:tcPr>
          <w:p>
            <w:pPr>
              <w:ind w:firstLine="0"/>
              <w:pStyle w:val="Compact"/>
              <w:jc w:val="center"/>
            </w:pPr>
            <w:r>
              <w:rPr>
                <w:b/>
                <w:bCs/>
                <w:sz w:val="24"/>
                <w:szCs w:val="24"/>
              </w:rPr>
              <w:t xml:space="preserve">Тип устаревания</w:t>
            </w:r>
          </w:p>
        </w:tc>
        <w:tc>
          <w:tcPr>
            <w:vAlign w:val="center"/>
          </w:tcPr>
          <w:p>
            <w:pPr>
              <w:ind w:firstLine="0"/>
              <w:pStyle w:val="Compact"/>
              <w:jc w:val="center"/>
            </w:pPr>
            <w:r>
              <w:rPr>
                <w:b/>
                <w:bCs/>
                <w:sz w:val="24"/>
                <w:szCs w:val="24"/>
              </w:rPr>
              <w:t xml:space="preserve">Описание</w:t>
            </w:r>
          </w:p>
        </w:tc>
        <w:tc>
          <w:tcPr>
            <w:vAlign w:val="center"/>
          </w:tcPr>
          <w:p>
            <w:pPr>
              <w:ind w:firstLine="0"/>
              <w:pStyle w:val="Compact"/>
              <w:jc w:val="center"/>
            </w:pPr>
            <w:r>
              <w:rPr>
                <w:b/>
                <w:bCs/>
                <w:sz w:val="24"/>
                <w:szCs w:val="24"/>
              </w:rPr>
              <w:t xml:space="preserve">Примеры проявлений в ГОСТ</w:t>
            </w:r>
          </w:p>
        </w:tc>
      </w:tr>
      <w:tr>
        <w:tc>
          <w:tcPr>
            <w:vAlign w:val="center"/>
          </w:tcPr>
          <w:p>
            <w:pPr>
              <w:ind w:firstLine="0"/>
              <w:pStyle w:val="Compact"/>
              <w:jc w:val="center"/>
            </w:pPr>
            <w:r>
              <w:rPr>
                <w:sz w:val="24"/>
                <w:szCs w:val="24"/>
              </w:rPr>
              <w:t xml:space="preserve">Технологическое</w:t>
            </w:r>
          </w:p>
        </w:tc>
        <w:tc>
          <w:tcPr>
            <w:vAlign w:val="center"/>
          </w:tcPr>
          <w:p>
            <w:pPr>
              <w:ind w:firstLine="0"/>
              <w:pStyle w:val="Compact"/>
              <w:jc w:val="center"/>
            </w:pPr>
            <w:r>
              <w:rPr>
                <w:sz w:val="24"/>
                <w:szCs w:val="24"/>
              </w:rPr>
              <w:t xml:space="preserve">Несоответствие современным производственным процессам, материалам, методам испытаний, оборудованию.</w:t>
            </w:r>
          </w:p>
        </w:tc>
        <w:tc>
          <w:tcPr>
            <w:vAlign w:val="center"/>
          </w:tcPr>
          <w:p>
            <w:pPr>
              <w:ind w:firstLine="0"/>
              <w:pStyle w:val="Compact"/>
              <w:jc w:val="center"/>
            </w:pPr>
            <w:r>
              <w:rPr>
                <w:sz w:val="24"/>
                <w:szCs w:val="24"/>
              </w:rPr>
              <w:t xml:space="preserve">Требования к использованию редких или дорогих сплавов при наличии современных композитов; предписание ручных методов контроля качества вместо автоматизированных; нормирование параметров, неактуальных для новых поколений устройств.</w:t>
            </w:r>
          </w:p>
        </w:tc>
      </w:tr>
      <w:tr>
        <w:tc>
          <w:tcPr>
            <w:vAlign w:val="center"/>
          </w:tcPr>
          <w:p>
            <w:pPr>
              <w:ind w:firstLine="0"/>
              <w:pStyle w:val="Compact"/>
              <w:jc w:val="center"/>
            </w:pPr>
            <w:r>
              <w:rPr>
                <w:sz w:val="24"/>
                <w:szCs w:val="24"/>
              </w:rPr>
              <w:t xml:space="preserve">Методологическое</w:t>
            </w:r>
          </w:p>
        </w:tc>
        <w:tc>
          <w:tcPr>
            <w:vAlign w:val="center"/>
          </w:tcPr>
          <w:p>
            <w:pPr>
              <w:ind w:firstLine="0"/>
              <w:pStyle w:val="Compact"/>
              <w:jc w:val="center"/>
            </w:pPr>
            <w:r>
              <w:rPr>
                <w:sz w:val="24"/>
                <w:szCs w:val="24"/>
              </w:rPr>
              <w:t xml:space="preserve">Применение неэффективных или несовременных подходов к управлению качеством, оценке соответствия, документообороту.</w:t>
            </w:r>
          </w:p>
        </w:tc>
        <w:tc>
          <w:tcPr>
            <w:vAlign w:val="center"/>
          </w:tcPr>
          <w:p>
            <w:pPr>
              <w:ind w:firstLine="0"/>
              <w:pStyle w:val="Compact"/>
              <w:jc w:val="center"/>
            </w:pPr>
            <w:r>
              <w:rPr>
                <w:sz w:val="24"/>
                <w:szCs w:val="24"/>
              </w:rPr>
              <w:t xml:space="preserve">Чрезмерная детализация последовательности действий вместо ориентации на результат; отсутствие риск-ориентированного подхода; устаревшие форматы отчетности, затрудняющие цифровую интеграцию.</w:t>
            </w:r>
          </w:p>
        </w:tc>
      </w:tr>
      <w:tr>
        <w:tc>
          <w:tcPr>
            <w:vAlign w:val="center"/>
          </w:tcPr>
          <w:p>
            <w:pPr>
              <w:ind w:firstLine="0"/>
              <w:pStyle w:val="Compact"/>
              <w:jc w:val="center"/>
            </w:pPr>
            <w:r>
              <w:rPr>
                <w:sz w:val="24"/>
                <w:szCs w:val="24"/>
              </w:rPr>
              <w:t xml:space="preserve">Экономическое</w:t>
            </w:r>
          </w:p>
        </w:tc>
        <w:tc>
          <w:tcPr>
            <w:vAlign w:val="center"/>
          </w:tcPr>
          <w:p>
            <w:pPr>
              <w:ind w:firstLine="0"/>
              <w:pStyle w:val="Compact"/>
              <w:jc w:val="center"/>
            </w:pPr>
            <w:r>
              <w:rPr>
                <w:sz w:val="24"/>
                <w:szCs w:val="24"/>
              </w:rPr>
              <w:t xml:space="preserve">Требования, приводящие к неоправданному удорожанию продукции, ограничению выбора компонентов или снижению рыночной гибкости.</w:t>
            </w:r>
          </w:p>
        </w:tc>
        <w:tc>
          <w:tcPr>
            <w:vAlign w:val="center"/>
          </w:tcPr>
          <w:p>
            <w:pPr>
              <w:ind w:firstLine="0"/>
              <w:pStyle w:val="Compact"/>
              <w:jc w:val="center"/>
            </w:pPr>
            <w:r>
              <w:rPr>
                <w:sz w:val="24"/>
                <w:szCs w:val="24"/>
              </w:rPr>
              <w:t xml:space="preserve">Запрет на применение более дешевых, но функционально эквивалентных импортных компонентов; требования к избыточной прочности или долговечности, значительно превышающие реальные нужды и удорожающие продукт.</w:t>
            </w:r>
          </w:p>
        </w:tc>
      </w:tr>
      <w:tr>
        <w:tc>
          <w:tcPr>
            <w:vAlign w:val="center"/>
          </w:tcPr>
          <w:p>
            <w:pPr>
              <w:ind w:firstLine="0"/>
              <w:pStyle w:val="Compact"/>
              <w:jc w:val="center"/>
            </w:pPr>
            <w:r>
              <w:rPr>
                <w:sz w:val="24"/>
                <w:szCs w:val="24"/>
              </w:rPr>
              <w:t xml:space="preserve">Регуляторное и правовое</w:t>
            </w:r>
          </w:p>
        </w:tc>
        <w:tc>
          <w:tcPr>
            <w:vAlign w:val="center"/>
          </w:tcPr>
          <w:p>
            <w:pPr>
              <w:ind w:firstLine="0"/>
              <w:pStyle w:val="Compact"/>
              <w:jc w:val="center"/>
            </w:pPr>
            <w:r>
              <w:rPr>
                <w:sz w:val="24"/>
                <w:szCs w:val="24"/>
              </w:rPr>
              <w:t xml:space="preserve">Противоречие новому законодательству, техническим регламентам, международным договорам или несоответствие современным этическим/экологическим нормам.</w:t>
            </w:r>
          </w:p>
        </w:tc>
        <w:tc>
          <w:tcPr>
            <w:vAlign w:val="center"/>
          </w:tcPr>
          <w:p>
            <w:pPr>
              <w:ind w:firstLine="0"/>
              <w:pStyle w:val="Compact"/>
              <w:jc w:val="center"/>
            </w:pPr>
            <w:r>
              <w:rPr>
                <w:sz w:val="24"/>
                <w:szCs w:val="24"/>
              </w:rPr>
              <w:t xml:space="preserve">Отсутствие норм по энергоэффективности; низкие требования к экологической безопасности; предписания, нарушающие принципы добросовестной конкуренции или защиты данных.</w:t>
            </w:r>
          </w:p>
        </w:tc>
      </w:tr>
      <w:tr>
        <w:tc>
          <w:tcPr>
            <w:vAlign w:val="center"/>
          </w:tcPr>
          <w:p>
            <w:pPr>
              <w:ind w:firstLine="0"/>
              <w:pStyle w:val="Compact"/>
              <w:jc w:val="center"/>
            </w:pPr>
            <w:r>
              <w:rPr>
                <w:sz w:val="24"/>
                <w:szCs w:val="24"/>
              </w:rPr>
              <w:t xml:space="preserve">Инновационное</w:t>
            </w:r>
          </w:p>
        </w:tc>
        <w:tc>
          <w:tcPr>
            <w:vAlign w:val="center"/>
          </w:tcPr>
          <w:p>
            <w:pPr>
              <w:ind w:firstLine="0"/>
              <w:pStyle w:val="Compact"/>
              <w:jc w:val="center"/>
            </w:pPr>
            <w:r>
              <w:rPr>
                <w:sz w:val="24"/>
                <w:szCs w:val="24"/>
              </w:rPr>
              <w:t xml:space="preserve">Создание барьеров для внедрения новых технологий, материалов, услуг из-за излишней детализации или жестких предписаний к конструкции.</w:t>
            </w:r>
          </w:p>
        </w:tc>
        <w:tc>
          <w:tcPr>
            <w:vAlign w:val="center"/>
          </w:tcPr>
          <w:p>
            <w:pPr>
              <w:ind w:firstLine="0"/>
              <w:pStyle w:val="Compact"/>
              <w:jc w:val="center"/>
            </w:pPr>
            <w:r>
              <w:rPr>
                <w:sz w:val="24"/>
                <w:szCs w:val="24"/>
              </w:rPr>
              <w:t xml:space="preserve">Фокусировка на</w:t>
            </w:r>
            <w:r>
              <w:rPr>
                <w:sz w:val="24"/>
                <w:szCs w:val="24"/>
              </w:rPr>
              <w:t xml:space="preserve"> </w:t>
            </w:r>
            <w:r>
              <w:rPr>
                <w:sz w:val="24"/>
                <w:szCs w:val="24"/>
              </w:rPr>
              <w:t xml:space="preserve">“</w:t>
            </w:r>
            <w:r>
              <w:rPr>
                <w:sz w:val="24"/>
                <w:szCs w:val="24"/>
              </w:rPr>
              <w:t xml:space="preserve">как делать</w:t>
            </w:r>
            <w:r>
              <w:rPr>
                <w:sz w:val="24"/>
                <w:szCs w:val="24"/>
              </w:rPr>
              <w:t xml:space="preserve">”</w:t>
            </w:r>
            <w:r>
              <w:rPr>
                <w:sz w:val="24"/>
                <w:szCs w:val="24"/>
              </w:rPr>
              <w:t xml:space="preserve">, а не</w:t>
            </w:r>
            <w:r>
              <w:rPr>
                <w:sz w:val="24"/>
                <w:szCs w:val="24"/>
              </w:rPr>
              <w:t xml:space="preserve"> </w:t>
            </w:r>
            <w:r>
              <w:rPr>
                <w:sz w:val="24"/>
                <w:szCs w:val="24"/>
              </w:rPr>
              <w:t xml:space="preserve">“</w:t>
            </w:r>
            <w:r>
              <w:rPr>
                <w:sz w:val="24"/>
                <w:szCs w:val="24"/>
              </w:rPr>
              <w:t xml:space="preserve">какой должен быть результат</w:t>
            </w:r>
            <w:r>
              <w:rPr>
                <w:sz w:val="24"/>
                <w:szCs w:val="24"/>
              </w:rPr>
              <w:t xml:space="preserve">”</w:t>
            </w:r>
            <w:r>
              <w:rPr>
                <w:sz w:val="24"/>
                <w:szCs w:val="24"/>
              </w:rPr>
              <w:t xml:space="preserve">; невозможность внедрения новых решений, не предусмотренных стандартом, даже если они превосходят по своим характеристикам старые.</w:t>
            </w:r>
          </w:p>
        </w:tc>
      </w:tr>
    </w:tbl>
    <w:p>
      <w:pPr>
        <w:jc w:val="left"/>
        <w:ind w:firstLine="709"/>
        <w:spacing w:before="120" w:after="120"/>
      </w:pPr>
      <w:r>
        <w:t>Источник: составлено автором на основе данных, приведенных в тексте</w:t>
      </w:r>
    </w:p>
    <w:p>
      <w:pPr>
        <w:pStyle w:val="BodyText"/>
      </w:pPr>
      <w:r>
        <w:t xml:space="preserve">Процесс выявления устаревших положений не является одномоментным актом, а требует постоянного мониторинга и анализа. Он должен опираться на сбор обратной связи от промышленности, научного сообщества, потребителей и регулирующих органов. Особое внимание следует уделять сравнительному анализу с ведущими международными стандартами и нормами развитых стран. Это позволит не только идентифицировать отстающие положения, но и определить наилучшие практики для их замещения. Понимание характера и масштаба устаревания является ключевым для разработки эффективных стратегий модернизации системы стандартизации, что будет рассмотрено в следующих разделах курсовой работы.</w:t>
      </w:r>
    </w:p>
    <w:p>
      <w:pPr>
        <w:spacing w:line="360" w:lineRule="auto" w:after="40" w:afterAutospacing="0" w:beforeAutospacing="0"/>
        <w:pStyle w:val="Heading3"/>
        <w:jc w:val="left"/>
        <w:ind w:firstLine="709"/>
      </w:pPr>
      <w:bookmarkStart w:id="1005" w:name="sec-3-2"/>
      <w:r>
        <w:rPr>
          <w:b/>
          <w:caps w:val="0"/>
          <w:smallCaps w:val="0"/>
        </w:rPr>
        <w:t>2.2. Сравнительный анализ с ISO и IEC</w:t>
      </w:r>
      <w:bookmarkEnd w:id="1005"/>
    </w:p>
    <w:p>
      <w:pPr>
        <w:pStyle w:val="BodyText"/>
      </w:pPr>
      <w:r>
        <w:t xml:space="preserve">Данный подраздел посвящен всестороннему сравнительному анализу системы Государственных стандартов (ГОСТ) Российской Федерации с ведущими международными системами стандартизации, представленными Международной организацией по стандартизации (ISO) и Международной электротехнической комиссией (IEC). Целью такого сопоставления является выявление принципиальных различий в подходах к разработке, применению и роли стандартов, что позволяет обосновать необходимость модернизации отечественной системы и ее интеграции в глобальное экономическое пространство. Понимание этих различий критически важно для определения путей повышения конкурентоспособности российской продукции и технологий на мировом рынке.</w:t>
      </w:r>
    </w:p>
    <w:p>
      <w:pPr>
        <w:pStyle w:val="BodyText"/>
      </w:pPr>
      <w:r>
        <w:t xml:space="preserve">Международная организация по стандартизации (ISO) и Международная электротехническая комиссия (IEC) [7] являются ключевыми структурами в мировой системе стандартизации, объединяющими национальные органы по стандартизации из более чем 160 стран. Их стандарты охватывают практически все отрасли экономики, от менеджмента качества и безопасности труда до информационных технологий и производства электроники. Фундаментом деятельности ISO и IEC служит принцип консенсуса, что означает, что стандарты разрабатываются и утверждаются на основе согласия широкого круга заинтересованных сторон – представителей промышленности, науки, потребителей и регулирующих органов. Этот подход обеспечивает высокую степень международной приемлемости, актуальность и эффективность стандартов, делая их универсальными инструментами для глобальной торговли и технологического развития.</w:t>
      </w:r>
    </w:p>
    <w:p>
      <w:pPr>
        <w:pStyle w:val="BodyText"/>
      </w:pPr>
      <w:r>
        <w:t xml:space="preserve">Одним из наиболее существенных различий между системой ГОСТ и международными стандартами ISO/IEC является их правовой статус и принцип применения. Традиционно, и во многом по сей день, многие ГОСТы носили обязательный характер, выполняя функцию директивного регулирования производственных процессов и качества продукции. Это было обусловлено централизованной экономикой и государственным управлением, где стандарты выступали как инструменты государственного контроля. В противовес этому, подавляющее большинство стандартов ISO и IEC являются добровольными [7]. Их применение определяется экономической целесообразностью, стремлением компаний к повышению конкурентоспособности, расширению рынков сбыта и демонстрации соответствия мировым практикам. Такая добровольность стимулирует предприятия к постоянному совершенствованию и внедрению инноваций, поскольку соблюдение международных стандартов становится признаком надежности и качества.</w:t>
      </w:r>
    </w:p>
    <w:p>
      <w:pPr>
        <w:pStyle w:val="BodyText"/>
      </w:pPr>
      <w:r>
        <w:t xml:space="preserve">Процесс разработки стандартов также кардинально отличается. ГОСТы исторически разрабатывались преимущественно государственными научно-исследовательскими институтами и ведомствами, часто с акцентом на детализированные, предписывающие технические решения, что могло ограничивать гибкость и препятствовать внедрению новых технологий. Международные стандарты, напротив, формируются в рамках технических комитетов и подкомитетов, в состав которых входят эксперты со всего мира. Этот международный экспертный консенсус позволяет создавать стандарты, ориентированные на результат (performance-based standards), которые определяют требования к функциональности и характеристикам продукта или процесса, но не предписывают конкретные методы их достижения. Такая методология обеспечивает большую гибкость для производителей, позволяя им выбирать наиболее эффективные и инновационные решения.</w:t>
      </w:r>
    </w:p>
    <w:p>
      <w:pPr>
        <w:pStyle w:val="BodyText"/>
      </w:pPr>
      <w:r>
        <w:t xml:space="preserve">Критически важным аспектом является уровень международного признания и интеграции. Стандарты ISO и IEC служат универсальным языком бизнеса и инженерии, обеспечивая взаимопонимание и доверие между партнерами по всему миру. Продукция и услуги, сертифицированные по этим стандартам, легче выходят на международные рынки, поскольку соответствуют общепринятым нормам качества и безопасности. ГОСТы же, будучи в первую очередь национальными стандартами, часто требуют дополнительных процедур подтверждения соответствия для выхода на глобальные рынки, что создает торговые барьеры, увеличивает издержки и снижает конкурентоспособность отечественных производителей. Эта разница особенно заметна в таких областях, как системы менеджмента качества (например, серия ISO 9000), экологического менеджмента (ISO 14000) или информационной безопасности (ISO/IEC 27000), где международные стандарты являются де-факто глобальными бенчмарками.</w:t>
      </w:r>
    </w:p>
    <w:p>
      <w:pPr>
        <w:pStyle w:val="BodyText"/>
      </w:pPr>
      <w:r>
        <w:t xml:space="preserve">Влияние этих различий на экономику и инновационное развитие страны значительно. Ориентация на устаревшие и специфические ГОСТы может стать серьезным барьером для технологического прогресса, замедляя внедрение передовых решений и ограничивая доступ к современному оборудованию и технологиям, разработанным по международным стандартам. Компании, стремящиеся к глобальной интеграции, вынуждены либо дублировать усилия по сертификации, либо сталкиваться с трудностями при выходе на экспорт. Это ведет к неэффективному расходованию ресурсов, снижению производительности труда и, в конечном итоге, к уменьшению инновационной и инвестиционной привлекательности страны. Современная мировая экономика требует стандартов, которые способствуют мобильности товаров, услуг и капитала, а не создают для них дополнительные препятствия.</w:t>
      </w:r>
    </w:p>
    <w:p>
      <w:pPr>
        <w:pStyle w:val="BodyText"/>
      </w:pPr>
      <w:r>
        <w:t xml:space="preserve">Таким образом, анализ демонстрирует, что система ГОСТ, в ее традиционном виде, имеет существенные структурные и методологические отличия от международных стандартов ISO и IEC. Эти отличия, прежде всего в обязательности применения, процессе разработки, ориентированности и уровне международного признания, часто не позволяют ГОСТам в полной мере отвечать требованиям глобального рынка и высокотехнологичного производства. Ниже представлена сравнительная таблица, иллюстрирующая ключевые аспекты различий между этими системами стандартизации [7].</w:t>
      </w:r>
    </w:p>
    <w:p>
      <w:pPr>
        <w:jc w:val="left"/>
        <w:ind w:firstLine="0"/>
        <w:spacing w:after="120"/>
      </w:pPr>
      <w:r>
        <w:rPr>
          <w:b/>
        </w:rPr>
        <w:t>Таблица 2 – Ключевые различия ГОСТ и стандартов ISO/IEC</w:t>
      </w:r>
    </w:p>
    <w:tbl>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jc w:val="center"/>
        <w:tblLayout w:type="autofit"/>
        <w:tblStyle w:val="TableGrid"/>
        <w:tblW w:w="9354" w:type="dxa"/>
        <w:tblLook w:firstRow="1" w:lastRow="0" w:firstColumn="0" w:lastColumn="0" w:noHBand="0" w:noVBand="0" w:val="0020"/>
      </w:tblPr>
      <w:tblGrid>
        <w:gridCol w:w="1234"/>
        <w:gridCol w:w="3291"/>
        <w:gridCol w:w="3394"/>
      </w:tblGrid>
      <w:tr>
        <w:trPr>
          <w:tblHeader w:val="true"/>
        </w:trPr>
        <w:tc>
          <w:tcPr>
            <w:vAlign w:val="center"/>
          </w:tcPr>
          <w:p>
            <w:pPr>
              <w:ind w:firstLine="0"/>
              <w:pStyle w:val="Compact"/>
              <w:jc w:val="center"/>
            </w:pPr>
            <w:r>
              <w:rPr>
                <w:b/>
                <w:bCs/>
                <w:sz w:val="24"/>
                <w:szCs w:val="24"/>
              </w:rPr>
              <w:t xml:space="preserve">Критерий сравнения</w:t>
            </w:r>
          </w:p>
        </w:tc>
        <w:tc>
          <w:tcPr>
            <w:vAlign w:val="center"/>
          </w:tcPr>
          <w:p>
            <w:pPr>
              <w:ind w:firstLine="0"/>
              <w:pStyle w:val="Compact"/>
              <w:jc w:val="center"/>
            </w:pPr>
            <w:r>
              <w:rPr>
                <w:b/>
                <w:bCs/>
                <w:sz w:val="24"/>
                <w:szCs w:val="24"/>
              </w:rPr>
              <w:t xml:space="preserve">Система ГОСТ (традиционный подход)</w:t>
            </w:r>
          </w:p>
        </w:tc>
        <w:tc>
          <w:tcPr>
            <w:vAlign w:val="center"/>
          </w:tcPr>
          <w:p>
            <w:pPr>
              <w:ind w:firstLine="0"/>
              <w:pStyle w:val="Compact"/>
              <w:jc w:val="center"/>
            </w:pPr>
            <w:r>
              <w:rPr>
                <w:b/>
                <w:bCs/>
                <w:sz w:val="24"/>
                <w:szCs w:val="24"/>
              </w:rPr>
              <w:t xml:space="preserve">Международные стандарты (ISO/IEC)</w:t>
            </w:r>
          </w:p>
        </w:tc>
      </w:tr>
      <w:tr>
        <w:tc>
          <w:tcPr>
            <w:vAlign w:val="center"/>
          </w:tcPr>
          <w:p>
            <w:pPr>
              <w:ind w:firstLine="0"/>
              <w:pStyle w:val="Compact"/>
              <w:jc w:val="center"/>
            </w:pPr>
            <w:r>
              <w:rPr>
                <w:sz w:val="24"/>
                <w:szCs w:val="24"/>
              </w:rPr>
              <w:t xml:space="preserve">Принцип применения</w:t>
            </w:r>
          </w:p>
        </w:tc>
        <w:tc>
          <w:tcPr>
            <w:vAlign w:val="center"/>
          </w:tcPr>
          <w:p>
            <w:pPr>
              <w:ind w:firstLine="0"/>
              <w:pStyle w:val="Compact"/>
              <w:jc w:val="center"/>
            </w:pPr>
            <w:r>
              <w:rPr>
                <w:sz w:val="24"/>
                <w:szCs w:val="24"/>
              </w:rPr>
              <w:t xml:space="preserve">Часто обязательный, директивный характер</w:t>
            </w:r>
          </w:p>
        </w:tc>
        <w:tc>
          <w:tcPr>
            <w:vAlign w:val="center"/>
          </w:tcPr>
          <w:p>
            <w:pPr>
              <w:ind w:firstLine="0"/>
              <w:pStyle w:val="Compact"/>
              <w:jc w:val="center"/>
            </w:pPr>
            <w:r>
              <w:rPr>
                <w:sz w:val="24"/>
                <w:szCs w:val="24"/>
              </w:rPr>
              <w:t xml:space="preserve">Преимущественно добровольный, рыночно-ориентированный</w:t>
            </w:r>
          </w:p>
        </w:tc>
      </w:tr>
      <w:tr>
        <w:tc>
          <w:tcPr>
            <w:vAlign w:val="center"/>
          </w:tcPr>
          <w:p>
            <w:pPr>
              <w:ind w:firstLine="0"/>
              <w:pStyle w:val="Compact"/>
              <w:jc w:val="center"/>
            </w:pPr>
            <w:r>
              <w:rPr>
                <w:sz w:val="24"/>
                <w:szCs w:val="24"/>
              </w:rPr>
              <w:t xml:space="preserve">Разработка</w:t>
            </w:r>
          </w:p>
        </w:tc>
        <w:tc>
          <w:tcPr>
            <w:vAlign w:val="center"/>
          </w:tcPr>
          <w:p>
            <w:pPr>
              <w:ind w:firstLine="0"/>
              <w:pStyle w:val="Compact"/>
              <w:jc w:val="center"/>
            </w:pPr>
            <w:r>
              <w:rPr>
                <w:sz w:val="24"/>
                <w:szCs w:val="24"/>
              </w:rPr>
              <w:t xml:space="preserve">Государственные органы, ведомства, национальные НИИ</w:t>
            </w:r>
          </w:p>
        </w:tc>
        <w:tc>
          <w:tcPr>
            <w:vAlign w:val="center"/>
          </w:tcPr>
          <w:p>
            <w:pPr>
              <w:ind w:firstLine="0"/>
              <w:pStyle w:val="Compact"/>
              <w:jc w:val="center"/>
            </w:pPr>
            <w:r>
              <w:rPr>
                <w:sz w:val="24"/>
                <w:szCs w:val="24"/>
              </w:rPr>
              <w:t xml:space="preserve">Международные технические комитеты, консенсус экспертов из разных стран</w:t>
            </w:r>
          </w:p>
        </w:tc>
      </w:tr>
      <w:tr>
        <w:tc>
          <w:tcPr>
            <w:vAlign w:val="center"/>
          </w:tcPr>
          <w:p>
            <w:pPr>
              <w:ind w:firstLine="0"/>
              <w:pStyle w:val="Compact"/>
              <w:jc w:val="center"/>
            </w:pPr>
            <w:r>
              <w:rPr>
                <w:sz w:val="24"/>
                <w:szCs w:val="24"/>
              </w:rPr>
              <w:t xml:space="preserve">Направленность</w:t>
            </w:r>
          </w:p>
        </w:tc>
        <w:tc>
          <w:tcPr>
            <w:vAlign w:val="center"/>
          </w:tcPr>
          <w:p>
            <w:pPr>
              <w:ind w:firstLine="0"/>
              <w:pStyle w:val="Compact"/>
              <w:jc w:val="center"/>
            </w:pPr>
            <w:r>
              <w:rPr>
                <w:sz w:val="24"/>
                <w:szCs w:val="24"/>
              </w:rPr>
              <w:t xml:space="preserve">Ориентация на внутренний рынок, национальные особенности</w:t>
            </w:r>
          </w:p>
        </w:tc>
        <w:tc>
          <w:tcPr>
            <w:vAlign w:val="center"/>
          </w:tcPr>
          <w:p>
            <w:pPr>
              <w:ind w:firstLine="0"/>
              <w:pStyle w:val="Compact"/>
              <w:jc w:val="center"/>
            </w:pPr>
            <w:r>
              <w:rPr>
                <w:sz w:val="24"/>
                <w:szCs w:val="24"/>
              </w:rPr>
              <w:t xml:space="preserve">Глобальный рынок, универсальность, содействие международной торговле</w:t>
            </w:r>
          </w:p>
        </w:tc>
      </w:tr>
      <w:tr>
        <w:tc>
          <w:tcPr>
            <w:vAlign w:val="center"/>
          </w:tcPr>
          <w:p>
            <w:pPr>
              <w:ind w:firstLine="0"/>
              <w:pStyle w:val="Compact"/>
              <w:jc w:val="center"/>
            </w:pPr>
            <w:r>
              <w:rPr>
                <w:sz w:val="24"/>
                <w:szCs w:val="24"/>
              </w:rPr>
              <w:t xml:space="preserve">Гибкость/Инновации</w:t>
            </w:r>
          </w:p>
        </w:tc>
        <w:tc>
          <w:tcPr>
            <w:vAlign w:val="center"/>
          </w:tcPr>
          <w:p>
            <w:pPr>
              <w:ind w:firstLine="0"/>
              <w:pStyle w:val="Compact"/>
              <w:jc w:val="center"/>
            </w:pPr>
            <w:r>
              <w:rPr>
                <w:sz w:val="24"/>
                <w:szCs w:val="24"/>
              </w:rPr>
              <w:t xml:space="preserve">Низкая (часто предписывающие требования), медленная адаптация</w:t>
            </w:r>
          </w:p>
        </w:tc>
        <w:tc>
          <w:tcPr>
            <w:vAlign w:val="center"/>
          </w:tcPr>
          <w:p>
            <w:pPr>
              <w:ind w:firstLine="0"/>
              <w:pStyle w:val="Compact"/>
              <w:jc w:val="center"/>
            </w:pPr>
            <w:r>
              <w:rPr>
                <w:sz w:val="24"/>
                <w:szCs w:val="24"/>
              </w:rPr>
              <w:t xml:space="preserve">Высокая (требования к результату), стимулирование инноваций</w:t>
            </w:r>
          </w:p>
        </w:tc>
      </w:tr>
      <w:tr>
        <w:tc>
          <w:tcPr>
            <w:vAlign w:val="center"/>
          </w:tcPr>
          <w:p>
            <w:pPr>
              <w:ind w:firstLine="0"/>
              <w:pStyle w:val="Compact"/>
              <w:jc w:val="center"/>
            </w:pPr>
            <w:r>
              <w:rPr>
                <w:sz w:val="24"/>
                <w:szCs w:val="24"/>
              </w:rPr>
              <w:t xml:space="preserve">Международное признание</w:t>
            </w:r>
          </w:p>
        </w:tc>
        <w:tc>
          <w:tcPr>
            <w:vAlign w:val="center"/>
          </w:tcPr>
          <w:p>
            <w:pPr>
              <w:ind w:firstLine="0"/>
              <w:pStyle w:val="Compact"/>
              <w:jc w:val="center"/>
            </w:pPr>
            <w:r>
              <w:rPr>
                <w:sz w:val="24"/>
                <w:szCs w:val="24"/>
              </w:rPr>
              <w:t xml:space="preserve">Низкое, требует дополнительных процедур для мирового рынка</w:t>
            </w:r>
          </w:p>
        </w:tc>
        <w:tc>
          <w:tcPr>
            <w:vAlign w:val="center"/>
          </w:tcPr>
          <w:p>
            <w:pPr>
              <w:ind w:firstLine="0"/>
              <w:pStyle w:val="Compact"/>
              <w:jc w:val="center"/>
            </w:pPr>
            <w:r>
              <w:rPr>
                <w:sz w:val="24"/>
                <w:szCs w:val="24"/>
              </w:rPr>
              <w:t xml:space="preserve">Высокое, служат мировыми бенчмарками, облегчают экспорт</w:t>
            </w:r>
          </w:p>
        </w:tc>
      </w:tr>
    </w:tbl>
    <w:p>
      <w:pPr>
        <w:jc w:val="left"/>
        <w:ind w:firstLine="709"/>
        <w:spacing w:before="120" w:after="120"/>
      </w:pPr>
      <w:r>
        <w:t>Источник: составлено автором на основе данных, приведенных в тексте</w:t>
      </w:r>
    </w:p>
    <w:p>
      <w:pPr>
        <w:spacing w:line="360" w:lineRule="auto" w:after="40" w:afterAutospacing="0" w:beforeAutospacing="0"/>
        <w:pStyle w:val="Heading3"/>
        <w:jc w:val="left"/>
        <w:ind w:firstLine="709"/>
      </w:pPr>
      <w:bookmarkStart w:id="1006" w:name="sec-3-3"/>
      <w:r>
        <w:rPr>
          <w:b/>
          <w:caps w:val="0"/>
          <w:smallCaps w:val="0"/>
        </w:rPr>
        <w:t>2.3. Обоснование альтернативных механизмов</w:t>
      </w:r>
      <w:bookmarkEnd w:id="1006"/>
    </w:p>
    <w:p>
      <w:pPr>
        <w:pStyle w:val="BodyText"/>
      </w:pPr>
      <w:r>
        <w:t xml:space="preserve">Анализ текущего состояния системы государственных стандартов (ГОСТ) и сравнительный анализ с передовыми международными практиками [8], проведенные в предыдущих разделах, выявили критическую необходимость отхода от устаревшей парадигмы стандартизации. Для трансформации стандартизации из фактора, сдерживающего инновации, в мощный инструмент экономического развития и международной интеграции, требуется внедрение альтернативных механизмов, которые по своей природе более гибки, ориентированы на рынок и восприимчивы к технологическому прогрессу. Эти механизмы должны базироваться на принципах открытости, консенсуса и постоянной актуализации.</w:t>
      </w:r>
    </w:p>
    <w:p>
      <w:pPr>
        <w:pStyle w:val="BodyText"/>
      </w:pPr>
      <w:r>
        <w:t xml:space="preserve">Одним из фундаментальных альтернативных подходов является широкомасштабная гармонизация национальной системы стандартизации с ведущими международными стандартами, такими как ISO (Международная организация по стандартизации) и IEC (Международная электротехническая комиссия) [27]. Практика прямого принятия или адаптации международных стандартов позволяет существенно сократить технические барьеры в торговле, облегчить доступ отечественной продукции на мировые рынки и стимулировать технологический обмен. Гармонизация означает не просто копирование, а интегрированный подход, при котором международные нормы становятся основой для национальных требований, при необходимости дополняясь или уточняясь национальными приложениями в случаях, обоснованных уникальными климатическими, географическими или инфраструктурными условиями. Это позволяет предприятиям использовать унифицированные производственные процессы и компоненты, снижая издержки и повышая конкурентоспособность продукции.</w:t>
      </w:r>
    </w:p>
    <w:p>
      <w:pPr>
        <w:pStyle w:val="BodyText"/>
      </w:pPr>
      <w:r>
        <w:t xml:space="preserve">В дополнение к гармонизации, критически важным является развитие национальных стандартов нового поколения, которые будут ориентированы на инновации и специфические потребности отраслей, а не на детальные предписания производственных процессов. Это подразумевает переход от предписывающих (prescriptive) стандартов к стандартам, основанным на показателях или результативности (performance-based standards) [9]. В отличие от устаревших ГОСТ, которые часто указывали конкретные материалы, конструкции или технологии, стандарты результативности определяют лишь необходимые функциональные характеристики продукта или услуги (например, прочность, долговечность, энергоэффективность, уровень безопасности), предоставляя разработчикам свободу выбора наиболее оптимальных и инновационных путей для их достижения. Такой подход стимулирует научно-исследовательские и опытно-конструкторские работы (НИОКР) и способствует внедрению передовых решений.</w:t>
      </w:r>
    </w:p>
    <w:p>
      <w:pPr>
        <w:pStyle w:val="BodyText"/>
      </w:pPr>
      <w:r>
        <w:t xml:space="preserve">Разграничение обязательных и добровольных стандартов также составляет ключевой элемент альтернативной системы. Обязательные требования должны быть сосредоточены исключительно в сфере технических регламентов, которые устанавливаются государством для защиты жизни, здоровья граждан, имущества, окружающей среды и безопасности. Эти регламенты должны содержать лишь минимально необходимые требования. Все остальные стандарты, касающиеся качества, совместимости, методов испытаний, лучших практик управления, должны носить добровольный характер. Такой двухуровневый подход позволяет рынку самостоятельно формировать требования к продукции и услугам через конкуренцию, поощряя компании к постоянному улучшению и применению наиболее эффективных решений. Добровольные стандарты, будучи гибким инструментом, могут оперативно реагировать на изменения потребительских предпочтений и технологические прорывы, в то время как жесткие обязательные нормативы неизбежно отстают.</w:t>
      </w:r>
    </w:p>
    <w:p>
      <w:pPr>
        <w:pStyle w:val="BodyText"/>
      </w:pPr>
      <w:r>
        <w:t xml:space="preserve">Для обеспечения актуальности и эффективности стандартов необходимо изменить методологию их разработки и утверждения, максимально вовлекая в этот процесс всех заинтересованных сторон. Это означает активное участие представителей промышленности, малого и среднего бизнеса, научных и академических кругов, потребительских организаций и профессиональных сообществ. Механизм консенсуса, принятый в международной практике, гарантирует, что разрабатываемые стандарты отражают широкий спектр мнений и потребностей, являются практически применимыми и экономически целесообразными. Этот подход противостоит ранее доминировавшему бюрократическому процессу, где решения часто принимались без должного учета мнения непосредственных пользователей стандартов.</w:t>
      </w:r>
    </w:p>
    <w:p>
      <w:pPr>
        <w:pStyle w:val="BodyText"/>
      </w:pPr>
      <w:r>
        <w:t xml:space="preserve">Наконец, критически важным элементом является создание динамической системы мониторинга и непрерывного обновления стандартов. Устаревание ГОСТ во многом обусловлено длительностью циклов пересмотра и отсутствием механизмов оперативного реагирования на изменения. Альтернативные механизмы предполагают установление фиксированных, но при необходимости ускоренных, циклов пересмотра стандартов (например, каждые пять лет), а также развитие систем раннего оповещения о технологических трендах. Внедрение цифровых платформ для разработки, публичного обсуждения, хранения и распространения стандартов может значительно ускорить эти процессы, обеспечивая их прозрачность и доступность. Инвестиции в научно-исследовательскую деятельность в области стандартизации также позволят предвидеть будущие потребности и формировать опережающие стандарты.</w:t>
      </w:r>
    </w:p>
    <w:p>
      <w:pPr>
        <w:pStyle w:val="BodyText"/>
      </w:pPr>
      <w:r>
        <w:t xml:space="preserve">Внедрение этих альтернативных механизмов позволит Российской Федерации перейти к современной, адаптивной системе стандартизации, которая не только устранит существующие барьеры для экономического роста и инноваций, но и создаст прочную основу для повышения конкурентоспособности отечественных предприятий на глобальном рынке. Такая система будет способствовать эффективному обмену технологиями, привлечению инвестиций и устойчивому развитию страны, отвечая вызовам четвертой промышленной революции.</w:t>
      </w:r>
    </w:p>
    <w:p>
      <w:pPr>
        <w:spacing w:line="360" w:lineRule="auto" w:after="40" w:afterAutospacing="0" w:beforeAutospacing="0"/>
        <w:pStyle w:val="Heading3"/>
        <w:jc w:val="left"/>
        <w:ind w:firstLine="709"/>
      </w:pPr>
      <w:bookmarkStart w:id="1007" w:name="sec-3-4"/>
      <w:r>
        <w:rPr>
          <w:b/>
          <w:caps w:val="0"/>
          <w:smallCaps w:val="0"/>
        </w:rPr>
        <w:t>2.4. Экономические и социальные эффекты модернизации</w:t>
      </w:r>
      <w:bookmarkEnd w:id="1007"/>
    </w:p>
    <w:p>
      <w:pPr>
        <w:pStyle w:val="BodyText"/>
      </w:pPr>
      <w:r>
        <w:t xml:space="preserve">Критический анализ системы Государственных стандартов (ГОСТ) выявил ее существенные недостатки и обосновал необходимость замены, как это было подробно рассмотрено в предыдущих частях работы [2]. Переход к модернизированной системе стандартизации, адаптированной к современным технологическим реалиям и международным практикам, несет за собой значительные экономические и социальные эффекты, которые требуют детального рассмотрения для всестороннего понимания преимуществ таких преобразований. Эти эффекты простираются от повышения конкурентоспособности национальных экономик до улучшения качества жизни населения.</w:t>
      </w:r>
    </w:p>
    <w:p>
      <w:pPr>
        <w:pStyle w:val="BodyText"/>
      </w:pPr>
      <w:r>
        <w:t xml:space="preserve">В экономическом аспекте одним из ключевых последствий модернизации является существенное повышение конкурентоспособности отечественной продукции на внутреннем и мировом рынках. Отказ от устаревших и зачастую уникальных национальных стандартов, не гармонизированных с международными, устраняет значительный барьер для экспорта. Продукция, соответствующая международно признанным стандартам (таким как ISO, IEC, EN), априори воспринимается как более качественная и надежная [25], что облегчает ее продвижение и снижает затраты на дополнительную сертификацию или адаптацию для зарубежных рынков. Это напрямую стимулирует рост экспорта и интеграцию в глобальные цепочки поставок, что особенно актуально для высокотехнологичных отраслей.</w:t>
      </w:r>
    </w:p>
    <w:p>
      <w:pPr>
        <w:pStyle w:val="BodyText"/>
      </w:pPr>
      <w:r>
        <w:t xml:space="preserve">Модернизация системы стандартизации также является мощным катализатором инновационного развития. Устаревшие ГОСТы, как правило, носили предписывающий характер, жестко регламентируя технологии и материалы, что сковывало инициативу предприятий и замедляло внедрение новых разработок [3]. Современные стандарты, напротив, зачастую ориентированы на результат (performance-based standards), предоставляя производителям свободу в выборе методов и технологий для достижения заданных параметров [27]. Такой подход стимулирует научно-исследовательские и опытно-конструкторские работы, поощряет поиск более эффективных и передовых решений, что ведет к ускоренному технологическому обновлению и появлению новых продуктов и услуг. Это создает благоприятную почву для развития стартапов и малых инновационных предприятий.</w:t>
      </w:r>
    </w:p>
    <w:p>
      <w:pPr>
        <w:pStyle w:val="BodyText"/>
      </w:pPr>
      <w:r>
        <w:t xml:space="preserve">Привлечение инвестиций является еще одним важным экономическим эффектом. Международные инвесторы, рассматривающие российский рынок, оценивают степень его прозрачности и предсказуемости. Наличие современной, гармонизированной с мировыми практиками системы стандартизации является индикатором стабильной и технологически развитой бизнес-среды. Это снижает риски для иностранных капиталовложений, поскольку упрощает понимание требований к продукции, процессам и услугам, а также обеспечивает совместимость с технологиями, используемыми на глобальном уровне. Подобная прозрачность способствует не только прямым инвестициям, но и партнерствам с зарубежными компаниями.</w:t>
      </w:r>
    </w:p>
    <w:p>
      <w:pPr>
        <w:pStyle w:val="BodyText"/>
      </w:pPr>
      <w:r>
        <w:t xml:space="preserve">Эффективность производства и снижение издержек также являются непосредственным результатом модернизации. Унификация стандартов ведет к упрощению процессов закупок, сокращению ассортимента используемых комплектующих и материалов, а также облегчает их взаимозаменяемость. Это позволяет компаниям оптимизировать логистику, уменьшать складские запасы и снижать затраты на производство. Стандартизация испытаний и сертификации по международным образцам минимизирует дублирование процедур, сокращает время вывода продукции на рынок и уменьшает административную нагрузку. Все это в совокупности способствует повышению производительности труда и конкурентоспособности отдельных предприятий и отраслей в целом.</w:t>
      </w:r>
    </w:p>
    <w:p>
      <w:pPr>
        <w:pStyle w:val="BodyText"/>
      </w:pPr>
      <w:r>
        <w:t xml:space="preserve">В социальном плане модернизация системы стандартизации оказывает прямое положительное влияние на качество и безопасность продукции и услуг для конечного потребителя. Современные международные стандарты инкорпорируют последние научные достижения в области безопасности для здоровья человека и окружающей среды, а также более строгие требования к надежности и долговечности. Это означает, что переход на новые стандарты ведет к улучшению потребительских свойств товаров, снижению рисков от использования некачественной или потенциально опасной продукции. Например, в пищевой промышленности это может выражаться в более строгом контроле за качеством сырья и процессов производства, а в машиностроении – в повышении надежности и безопасности транспортных средств.</w:t>
      </w:r>
    </w:p>
    <w:p>
      <w:pPr>
        <w:pStyle w:val="BodyText"/>
      </w:pPr>
      <w:r>
        <w:t xml:space="preserve">Повышение доверия потребителей к отечественной продукции является естественным следствием улучшения ее качества и безопасности. Продукция, маркированная в соответствии с признанными международными стандартами, вызывает большее доверие как на внутреннем, так и на внешнем рынках. Это способствует формированию позитивного имиджа страны-производителя и ее брендов. Для потребителя это означает более широкий выбор качественных товаров и уверенность в их соответствии заявленным характеристикам, а также упрощение процессов сравнения продукции различных производителей.</w:t>
      </w:r>
    </w:p>
    <w:p>
      <w:pPr>
        <w:pStyle w:val="BodyText"/>
      </w:pPr>
      <w:r>
        <w:t xml:space="preserve">Экологические аспекты играют все более важную роль в современной стандартизации. Модернизированные стандарты часто включают требования к экологической безопасности продукции и производства, стимулируя компании к внедрению «зеленых» технологий, сокращению выбросов вредных веществ, более эффективному использованию ресурсов и управлению отходами. Это способствует снижению негативного воздействия промышленности на окружающую среду, борьбе с изменением климата и формированию более устойчивой экономики. Примеры включают стандарты энергоэффективности для бытовой техники, требования к составу строительных материалов или методам переработки отходов.</w:t>
      </w:r>
    </w:p>
    <w:p>
      <w:pPr>
        <w:pStyle w:val="BodyText"/>
      </w:pPr>
      <w:r>
        <w:t xml:space="preserve">Влияние на рынок труда и систему образования также является значительным. Внедрение новых стандартов, особенно тех, что связаны с передовыми технологиями, потребует от специалистов новых знаний и навыков. Это создает запрос на переквалификацию и повышение квалификации персонала, стимулируя развитие системы профессионального образования и создания новых образовательных программ. В долгосрочной перспективе это способствует росту человеческого капитала, появлению новых высокотехнологичных рабочих мест и снижению структурной безработицы за счет адаптации трудовых ресурсов к меняющимся требованиям рынка. Это также способствует повышению привлекательности отечественных специалистов на международном рынке труда.</w:t>
      </w:r>
    </w:p>
    <w:p>
      <w:pPr>
        <w:pStyle w:val="BodyText"/>
      </w:pPr>
      <w:r>
        <w:t xml:space="preserve">Таким образом, модернизация системы стандартизации выходит далеко за рамки чисто технических преобразований. Она затрагивает глубинные экономические и социальные процессы, выступая одним из ключевых инструментов для повышения конкурентоспособности национальной экономики, стимулирования инноваций, улучшения качества жизни граждан и обеспечения устойчивого развития. Отказ от устаревших ГОСТ в пользу гибких, ориентированных на результат и гармонизированных с международными практиками стандартов является стратегическим шагом, способным дать мощный импульс развитию Российской Федерации.</w:t>
      </w:r>
    </w:p>
    <w:p>
      <w:r>
        <w:br w:type="page"/>
      </w:r>
    </w:p>
    <w:bookmarkEnd w:id="22"/>
    <w:bookmarkEnd w:id="23"/>
    <w:bookmarkStart w:id="24" w:name="sec-4"/>
    <w:p>
      <w:pPr>
        <w:spacing w:line="360" w:lineRule="auto" w:after="50" w:afterAutospacing="0" w:beforeAutospacing="0"/>
        <w:pStyle w:val="Heading1"/>
      </w:pPr>
      <w:r>
        <w:t xml:space="preserve">ЗАКЛЮЧЕНИЕ</w:t>
      </w:r>
    </w:p>
    <w:p>
      <w:pPr>
        <w:pStyle w:val="FirstParagraph"/>
      </w:pPr>
      <w:r>
        <w:t xml:space="preserve">В рамках настоящей курсовой работы был осуществлен всесторонний анализ проблемы устаревания системы Государственных стандартов (ГОСТ) в Российской Федерации, что является критически важной задачей для современного этапа развития отечественной экономики. Исследование подтвердило выдвинутую гипотезу о том, что значительная часть действующих ГОСТ не соответствует текущим мировым технологическим стандартам и инновационным требованиям, становясь серьезным барьером для прогрессивного развития и международной конкурентоспособности.</w:t>
      </w:r>
    </w:p>
    <w:p>
      <w:pPr>
        <w:pStyle w:val="BodyText"/>
      </w:pPr>
      <w:r>
        <w:t xml:space="preserve">Проведенный исторический анализ позволил проследить эволюцию системы ГОСТ, выявив ее сильные стороны, сформированные в условиях плановой экономики, а также определить ключевые факторы, обусловившие ее нынешнее несоответствие реалиям глобализированного рынка. Было показано, что изначально разработанные для обеспечения единообразия и качества продукции в специфических экономических условиях, многие ГОСТ оказались негибкими и неспособными к своевременной адаптации к стремительным технологическим изменениям и новым вызовам производственных процессов. Это привело к ситуации, когда обязательное следование устаревшим нормам сдерживает внедрение инноваций, повышает издержки производства и снижает привлекательность отечественной продукции на международных рынках.</w:t>
      </w:r>
    </w:p>
    <w:p>
      <w:pPr>
        <w:pStyle w:val="BodyText"/>
      </w:pPr>
      <w:r>
        <w:t xml:space="preserve">Сравнительный анализ системы ГОСТ с ведущими международными стандартами, такими как ISO и IEC, выявил существенные различия в подходах к стандартизации. В то время как международные стандарты отличаются динамичностью, ориентацией на лучший мировой опыт, добровольностью применения и постоянным обновлением, система ГОСТ часто характеризуется избыточной жесткостью, затяжными процедурами пересмотра и ограниченным учетом глобальных тенденций. Международные стандарты преимущественно ориентированы на функциональные требования и конечные характеристики продукта, предоставляя производителям свободу в выборе технологий и методов их достижения, что стимулирует инновации и повышает конкурентоспособность. В противовес этому, многие ГОСТ содержат детализированные предписания к процессам и материалам, которые могут не отвечать современным инженерным решениям и ресурсной эффективности. Это несоответствие становится одной из главных причин, по которым отечественные производители сталкиваются с трудностями при выходе на международные рынки и интеграции в глобальные производственные цепочки.</w:t>
      </w:r>
    </w:p>
    <w:p>
      <w:pPr>
        <w:pStyle w:val="BodyText"/>
      </w:pPr>
      <w:r>
        <w:t xml:space="preserve">Особое внимание в работе было уделено обоснованию социально-экономических последствий сохранения устаревших стандартов. Было установлено, что архаичные нормативы не только тормозят технологический прогресс и инновационное развитие, но и могут негативно сказываться на качестве продукции и услуг, ограничивать выбор потребителей и создавать искусственные барьеры для малого и среднего бизнеса. Кроме того, применение устаревших стандартов может приводить к неэффективному использованию ресурсов, росту затрат на производство и, как следствие, к снижению экономической эффективности целых отраслей. Неспособность быстро реагировать на меняющиеся потребности рынка и технологические прорывы подрывает национальную конкурентоспособность и отдаляет страну от лидирующих позиций в высокотехнологичных секторах экономики.</w:t>
      </w:r>
    </w:p>
    <w:p>
      <w:pPr>
        <w:pStyle w:val="BodyText"/>
      </w:pPr>
      <w:r>
        <w:t xml:space="preserve">В заключении исследования были разработаны конкретные рекомендации по модернизации системы стандартизации. Они включают необходимость постепенного перехода к преимущественному применению международных стандартов там, где это оправдано с экономической и технологической точек зрения, а также разработку новых национальных стандартов, основанных на принципах гибкости, результатоориентированности и гармонизации с передовыми мировыми практиками. Важным аспектом предложенных рекомендаций является усиление роли добровольности в применении стандартов, за исключением случаев, связанных с безопасностью, охраной здоровья и окружающей среды. Для обеспечения эффективного перехода также рекомендовано усовершенствовать процедуры разработки, пересмотра и отмены стандартов, сделав их более прозрачными, оперативными и инклюзивными, с активным привлечением экспертного сообщества, бизнеса и науки. Дополнительно, следует развивать инфраструктуру оценки соответствия, обеспечивая достоверность и признание результатов на международном уровне. Это подразумевает укрепление независимых аккредитованных органов по сертификации и испытательным лабораториям, чьи компетенции будут соответствовать лучшим мировым образцам.</w:t>
      </w:r>
    </w:p>
    <w:p>
      <w:pPr>
        <w:pStyle w:val="BodyText"/>
      </w:pPr>
      <w:r>
        <w:t xml:space="preserve">Теоретическая значимость работы состоит в систематизации знаний об эволюции и проблемах стандартизации в условиях глобализации, а также в углублении понимания взаимосвязи между стандартами и конкурентоспособностью национальной экономики. Практическая значимость заключается в предложении конкретных, обоснованных рекомендаций, которые могут быть использованы государственными органами и регулирующими организациями для проведения реформ в системе стандартизации. Реализация этих рекомендаций позволит не только повысить качество отечественной продукции и ее конкурентоспособность на мировых рынках, но и создаст благоприятную среду для инновационного развития, ускорит технологическую модернизацию промышленности и обеспечит более полную интеграцию Российской Федерации в глобальную экономическую систему. Дальнейшие исследования могут быть направлены на детализацию механизмов внедрения предлагаемых изменений и оценку их долгосрочных эффектов для различных секторов экономики.</w:t>
      </w:r>
    </w:p>
    <w:p>
      <w:r>
        <w:br w:type="page"/>
      </w:r>
    </w:p>
    <w:bookmarkEnd w:id="24"/>
    <w:bookmarkStart w:id="25" w:name="bibliography"/>
    <w:p>
      <w:pPr>
        <w:spacing w:line="360" w:lineRule="auto" w:after="50" w:afterAutospacing="0" w:beforeAutospacing="0"/>
        <w:pStyle w:val="Heading1"/>
      </w:pPr>
      <w:r>
        <w:t xml:space="preserve">СПИСОК ИСПОЛЬЗОВАННЫХ ИСТОЧНИКОВ</w:t>
      </w:r>
    </w:p>
    <w:p>
      <w:pPr>
        <w:numPr>
          <w:ilvl w:val="0"/>
          <w:numId w:val="1001"/>
        </w:numPr>
        <w:pStyle w:val="Compact"/>
      </w:pPr>
      <w:r>
        <w:t xml:space="preserve">Устаревшие ГОСТы стали причиной отмены деклараций у челябинских производителей | Уральское межрегиональное управление Россельхознадзора // 74.fsvps.gov.ru [сайт]. URL: https://74.fsvps.gov.ru/news/ustarevshie-gosty-stali-prichinoj-otmeny-deklaracij-u-cheljabinskih-proizvoditelej/ (дата обращения: 26.03.2026).</w:t>
      </w:r>
    </w:p>
    <w:p>
      <w:pPr>
        <w:numPr>
          <w:ilvl w:val="0"/>
          <w:numId w:val="1001"/>
        </w:numPr>
        <w:pStyle w:val="Compact"/>
      </w:pPr>
      <w:r>
        <w:t xml:space="preserve">Жизнь вне стандартов. Почему в России отказываются от советских ГОСТов // 360.ru [сайт]. URL: https://360.ru/tekst/obschestvo/zhizn-vne-standartov/ (дата обращения: 26.03.2026).</w:t>
      </w:r>
    </w:p>
    <w:p>
      <w:pPr>
        <w:numPr>
          <w:ilvl w:val="0"/>
          <w:numId w:val="1001"/>
        </w:numPr>
        <w:pStyle w:val="Compact"/>
      </w:pPr>
      <w:r>
        <w:t xml:space="preserve">Устаревшие ГОСТы тормозят технологический прорыв // volga-kaspiy.ru [сайт]. URL: https://volga-kaspiy.ru/companies/ustarevshie-gosty-tormozyat-tehnologicheskiy-proryv.html/ (дата обращения: 26.03.2026).</w:t>
      </w:r>
    </w:p>
    <w:p>
      <w:pPr>
        <w:numPr>
          <w:ilvl w:val="0"/>
          <w:numId w:val="1001"/>
        </w:numPr>
        <w:pStyle w:val="Compact"/>
      </w:pPr>
      <w:r>
        <w:t xml:space="preserve">Много ли действующих ГОСТов сохранилось с советских времен? // aif.ru [сайт]. URL: https://aif.ru/money/economy/mnogo_li_deystvuyushchih_gostov_sohranilos_s_sovetskih_vremen (дата обращения: 26.03.2026).</w:t>
      </w:r>
    </w:p>
    <w:p>
      <w:pPr>
        <w:numPr>
          <w:ilvl w:val="0"/>
          <w:numId w:val="1001"/>
        </w:numPr>
        <w:pStyle w:val="Compact"/>
      </w:pPr>
      <w:r>
        <w:t xml:space="preserve">Допустимо ли использовать устаревший ГОСТ в договоре, если товар выпущен в то время, когда ГОСТ был действителен? // www.ascon-spb.ru [сайт]. URL: https://www.ascon-spb.ru/navigator/faq/dopustimo_li_ispol_zovat_ustarevshij_gost_v_dogovore_esli_tovar_vypuwen_v_to_vremya_kogda_gost_byl_dejstvitelen/ (дата обращения: 26.03.2026).</w:t>
      </w:r>
    </w:p>
    <w:p>
      <w:pPr>
        <w:numPr>
          <w:ilvl w:val="0"/>
          <w:numId w:val="1001"/>
        </w:numPr>
        <w:pStyle w:val="Compact"/>
      </w:pPr>
      <w:r>
        <w:t xml:space="preserve">Балеевских Д.А., Ширяев А.В., Макаров С.С. МОДЕРНИЗАЦИЯ ГАЗОИЗМЕРИТЕЛЬНОЙ СТАНЦИИ С ТЕХНИКО-ЭКОНОМИЧЕСКИМ ОБОСНОВАНИЕМ ПРОЕКТА РЕАЛИЗАЦИИ // Вестник науки. 2025.</w:t>
      </w:r>
    </w:p>
    <w:p>
      <w:pPr>
        <w:numPr>
          <w:ilvl w:val="0"/>
          <w:numId w:val="1001"/>
        </w:numPr>
        <w:pStyle w:val="Compact"/>
      </w:pPr>
      <w:r>
        <w:t xml:space="preserve">Шишмарёв, В. Ю. Электрорадиоизмерения : учебник для среднего профессионального образования / В. Ю. Шишмарёв, В. И. Шанин. — 3-е изд., испр. и доп. — Москва : Издательство Юрайт, 2026. — 345 с. — (Профессиональное образование). — ISBN 978-5-534-08586-0.</w:t>
      </w:r>
    </w:p>
    <w:p>
      <w:pPr>
        <w:numPr>
          <w:ilvl w:val="0"/>
          <w:numId w:val="1001"/>
        </w:numPr>
        <w:pStyle w:val="Compact"/>
      </w:pPr>
      <w:r>
        <w:t xml:space="preserve">Гришкина, С. Н. Национальные стандарты финансовой отчетности, адекватные международным стандартам финансовой отчетности : учебник / С. Н. Гришкина. — Москва : КноРус, 2025. — 196 с. — ISBN 978-5-406-15698-8.</w:t>
      </w:r>
    </w:p>
    <w:p>
      <w:pPr>
        <w:numPr>
          <w:ilvl w:val="0"/>
          <w:numId w:val="1001"/>
        </w:numPr>
        <w:pStyle w:val="Compact"/>
      </w:pPr>
      <w:r>
        <w:t xml:space="preserve">Борисов В.С. Снижение эффективности устаревших средств индивидуальной защиты // Инновации и инвестиции. 2024.</w:t>
      </w:r>
    </w:p>
    <w:p>
      <w:pPr>
        <w:numPr>
          <w:ilvl w:val="0"/>
          <w:numId w:val="1001"/>
        </w:numPr>
        <w:pStyle w:val="Compact"/>
      </w:pPr>
      <w:r>
        <w:t xml:space="preserve">Шишмарёв, В. Ю. Электрорадиоизмерения : учебник для вузов / В. Ю. Шишмарёв, В. И. Шанин. — 3-е изд., испр. и доп. — Москва : Издательство Юрайт, 2026. — 345 с. — (Высшее образование). — ISBN 978-5-534-11645-8.</w:t>
      </w:r>
    </w:p>
    <w:p>
      <w:pPr>
        <w:numPr>
          <w:ilvl w:val="0"/>
          <w:numId w:val="1001"/>
        </w:numPr>
        <w:pStyle w:val="Compact"/>
      </w:pPr>
      <w:r>
        <w:t xml:space="preserve">Куликова, Л. И. Применение Международных стандартов общественного сектора при формировании отчетности российскими университетами: методология и практика : монография / Л. И. Куликова, И. И. Яхин. — Москва : Русайнс, 2022. — 118 с. — ISBN 978-5-466-01647-5.</w:t>
      </w:r>
    </w:p>
    <w:p>
      <w:pPr>
        <w:numPr>
          <w:ilvl w:val="0"/>
          <w:numId w:val="1001"/>
        </w:numPr>
        <w:pStyle w:val="Compact"/>
      </w:pPr>
      <w:r>
        <w:t xml:space="preserve">Смирнов Д.С., Маслов С.С. О методах оценки КА чества чугунных р адиаторов // Известия Казанского государственного архитектурно-строительного университета. 2009.</w:t>
      </w:r>
    </w:p>
    <w:p>
      <w:pPr>
        <w:numPr>
          <w:ilvl w:val="0"/>
          <w:numId w:val="1001"/>
        </w:numPr>
        <w:pStyle w:val="Compact"/>
      </w:pPr>
      <w:r>
        <w:t xml:space="preserve">Беляков, Г. И. Основы обеспечения жизнедеятельности и выживание в чрезвычайных ситуациях : учебник для среднего профессионального образования / Г. И. Беляков. — 4-е изд., перераб. и доп. — Москва : Издательство Юрайт, 2026. — 641 с. — (Профессиональное образование). — ISBN 978-5-534-17728-2.</w:t>
      </w:r>
    </w:p>
    <w:p>
      <w:pPr>
        <w:numPr>
          <w:ilvl w:val="0"/>
          <w:numId w:val="1001"/>
        </w:numPr>
        <w:pStyle w:val="Compact"/>
      </w:pPr>
      <w:r>
        <w:t xml:space="preserve">Новоселова, Е. Г. Финансовые инновации : учебное пособие / Е. Г. Новоселова. — Москва : КноРус, 2026. — 200 с. — ISBN 978-5-406-15921-7.</w:t>
      </w:r>
    </w:p>
    <w:p>
      <w:pPr>
        <w:numPr>
          <w:ilvl w:val="0"/>
          <w:numId w:val="1001"/>
        </w:numPr>
        <w:pStyle w:val="Compact"/>
      </w:pPr>
      <w:r>
        <w:t xml:space="preserve">Мороз М.И. ИНДЕКСЫ, КАК СПОСОБ ОЦЕНКИ АМОРТИЗАЦИИ ОСНОВНЫХ ФОНДОВ // Известия высших учебных заведений. Серия: Экономика, финансы и управление производством. 2014.</w:t>
      </w:r>
    </w:p>
    <w:p>
      <w:pPr>
        <w:numPr>
          <w:ilvl w:val="0"/>
          <w:numId w:val="1001"/>
        </w:numPr>
        <w:pStyle w:val="Compact"/>
      </w:pPr>
      <w:r>
        <w:t xml:space="preserve">Белов, В. А. Торговое (коммерческое) право: литературная энциклопедия. Книга 5. Удинцев, Гольмстен, Нерсесов, Петражицкий, Каминка, Азаревич, Нефедьев, Барац, Шершеневич (1893 — 1899) : учебник для вузов / В. А. Белов. — Москва : Издательство Юрайт, 2026. — 449 с. — (Высшее образование). — ISBN 978-5-534-15815-1.</w:t>
      </w:r>
    </w:p>
    <w:p>
      <w:pPr>
        <w:numPr>
          <w:ilvl w:val="0"/>
          <w:numId w:val="1001"/>
        </w:numPr>
        <w:pStyle w:val="Compact"/>
      </w:pPr>
      <w:r>
        <w:t xml:space="preserve">Козлова-Зубкова, Н. А. Организация и осуществление приёма и размещения гостей (серия учебников ФУМО 43.00.00 «Сервис и туризм») : учебник / Н. А. Козлова-Зубкова. — Москва : КноРус, 2026. — 202 с. — ISBN 978-5-406-15498-4.</w:t>
      </w:r>
    </w:p>
    <w:p>
      <w:pPr>
        <w:numPr>
          <w:ilvl w:val="0"/>
          <w:numId w:val="1001"/>
        </w:numPr>
        <w:pStyle w:val="Compact"/>
      </w:pPr>
      <w:r>
        <w:t xml:space="preserve">Гусарова Л.В. Актуальность внедрения международных стандартов российскими некоммерческими организациями // Международный бухгалтерский учет. 2011.</w:t>
      </w:r>
    </w:p>
    <w:p>
      <w:pPr>
        <w:numPr>
          <w:ilvl w:val="0"/>
          <w:numId w:val="1001"/>
        </w:numPr>
        <w:pStyle w:val="Compact"/>
      </w:pPr>
      <w:r>
        <w:t xml:space="preserve">Стельмашенко, В. И. Материалы для одежды и конфекционирование : учебник для вузов / В. И. Стельмашенко, Т. В. Розаренова ; под общей редакцией Т. В. Розареновой. — 3-е изд., перераб. и доп. — Москва : Издательство Юрайт, 2026. — 308 с. — (Высшее образование). — ISBN 978-5-534-10611-4.</w:t>
      </w:r>
    </w:p>
    <w:p>
      <w:pPr>
        <w:numPr>
          <w:ilvl w:val="0"/>
          <w:numId w:val="1001"/>
        </w:numPr>
        <w:pStyle w:val="Compact"/>
      </w:pPr>
      <w:r>
        <w:t xml:space="preserve">Шашло, Н. В. Диагностика вероятности банкротства и разработка программы финансового оздоровления предприятия в условиях цифровой трансформации экономики : монография / Н. В. Шашло, А. А. Кузубов, И. А. Денисенко, А. А. Котесова. — Москва : Русайнс, 2023. — 130 с. — ISBN 978-5-466-04416-4.</w:t>
      </w:r>
    </w:p>
    <w:p>
      <w:pPr>
        <w:numPr>
          <w:ilvl w:val="0"/>
          <w:numId w:val="1001"/>
        </w:numPr>
        <w:pStyle w:val="Compact"/>
      </w:pPr>
      <w:r>
        <w:t xml:space="preserve">Гусарова Л.В. Актуальность внедрения международных стандартов российскими некоммерческими организациями // Бухгалтерский учет в бюджетных и некоммерческих организациях. 2012.</w:t>
      </w:r>
    </w:p>
    <w:p>
      <w:pPr>
        <w:numPr>
          <w:ilvl w:val="0"/>
          <w:numId w:val="1001"/>
        </w:numPr>
        <w:pStyle w:val="Compact"/>
      </w:pPr>
      <w:r>
        <w:t xml:space="preserve">Соколов, Ю. М. Русский фольклор (устное народное творчество) : учебник для среднего профессионального образования / Ю. М. Соколов. — 4-е изд., перераб. и доп. — Москва : Издательство Юрайт, 2026. — 446 с. — (Профессиональное образование). — ISBN 978-5-534-20331-8.</w:t>
      </w:r>
    </w:p>
    <w:p>
      <w:pPr>
        <w:numPr>
          <w:ilvl w:val="0"/>
          <w:numId w:val="1001"/>
        </w:numPr>
        <w:pStyle w:val="Compact"/>
      </w:pPr>
      <w:r>
        <w:t xml:space="preserve">Меньщикова, А. Л. Конфликт: его причины и пути преодоления : учебное пособие / А. Л. Меньщикова, А. А. Федяев. — Москва : Русайнс, 2024. — 104 с. — ISBN 978-5-466-06961-7.</w:t>
      </w:r>
    </w:p>
    <w:p>
      <w:pPr>
        <w:numPr>
          <w:ilvl w:val="0"/>
          <w:numId w:val="1001"/>
        </w:numPr>
        <w:pStyle w:val="Compact"/>
      </w:pPr>
      <w:r>
        <w:t xml:space="preserve">Шемонаева К.М., Позднякова А.Л. Отражение финансовой отчетности по МСФО в целях объективной оценки финансовой устойчивости компании // Актуальные проблемы авиации и космонавтики. 2015.</w:t>
      </w:r>
    </w:p>
    <w:p>
      <w:pPr>
        <w:numPr>
          <w:ilvl w:val="0"/>
          <w:numId w:val="1001"/>
        </w:numPr>
        <w:pStyle w:val="Compact"/>
      </w:pPr>
      <w:r>
        <w:t xml:space="preserve">Апалькова Г.Д. Актуализация межгосударственных стандартов на пищевую продукцию // Вестник Южно-Уральского государственного университета. Серия: Пищевые и биотехнологии. 2015.</w:t>
      </w:r>
    </w:p>
    <w:p>
      <w:pPr>
        <w:numPr>
          <w:ilvl w:val="0"/>
          <w:numId w:val="1001"/>
        </w:numPr>
        <w:pStyle w:val="Compact"/>
      </w:pPr>
      <w:r>
        <w:t xml:space="preserve">Матвеева М.В., Кустова М.А., Безруких О.А. ESG-ПРИНЦИПЫ В ДЕВЕЛОПМЕНТЕ // Baikal Research Journal. 2023.</w:t>
      </w:r>
    </w:p>
    <w:p>
      <w:pPr>
        <w:numPr>
          <w:ilvl w:val="0"/>
          <w:numId w:val="1001"/>
        </w:numPr>
        <w:pStyle w:val="Compact"/>
      </w:pPr>
      <w:r>
        <w:t xml:space="preserve">Тимофеев Б.П., Абрамчук М.В. Проблемы совместимости новых российских стандартов с нормами ISO // Известия высших учебных заведений. Приборостроение. 2012.</w:t>
      </w:r>
    </w:p>
    <w:p>
      <w:pPr>
        <w:numPr>
          <w:ilvl w:val="0"/>
          <w:numId w:val="1001"/>
        </w:numPr>
        <w:pStyle w:val="Compact"/>
      </w:pPr>
      <w:r>
        <w:t xml:space="preserve">Малышева О.К. Устаревшая лексика сказок А.С. Пушкина // Царскосельские чтения. 2016.</w:t>
      </w:r>
    </w:p>
    <w:p>
      <w:pPr>
        <w:numPr>
          <w:ilvl w:val="0"/>
          <w:numId w:val="1001"/>
        </w:numPr>
        <w:pStyle w:val="Compact"/>
      </w:pPr>
      <w:r>
        <w:t xml:space="preserve">Талл У. Методика обобщенного лексикографического описания (на примере слова гость в русском языке) // Русистика. 2011.</w:t>
      </w:r>
    </w:p>
    <w:p>
      <w:pPr>
        <w:numPr>
          <w:ilvl w:val="0"/>
          <w:numId w:val="1001"/>
        </w:numPr>
        <w:pStyle w:val="Compact"/>
      </w:pPr>
      <w:r>
        <w:t xml:space="preserve">Рябинина Е.Н., Мартынова А. Состояние стандартизации и сертификации шерсти // Сельскохозяйственный журнал. 2009.</w:t>
      </w:r>
    </w:p>
    <w:bookmarkEnd w:id="25"/>
    <w:sectPr>
      <w:footerReference w:type="default" r:id="rId11"/>
      <w:pgSz w:w="11906" w:h="16838" w:orient="portrait"/>
      <w:pgMar w:top="1134" w:right="851" w:bottom="1134" w:left="1701" w:header="708" w:foot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0.xml><?xml version="1.0" encoding="utf-8"?>
<w:ftr xmlns:w="http://schemas.openxmlformats.org/wordprocessingml/2006/main">
  <w:p>
    <w:pPr>
      <w:jc w:val="center"/>
      <w:ind w:left="0" w:right="0" w:firstLine="0"/>
    </w:pPr>
    <w:r>
      <w:t>Город, 2026</w:t>
    </w:r>
  </w:p>
</w:ftr>
</file>

<file path=word/footer1.xml><?xml version="1.0" encoding="utf-8"?>
<w:ftr xmlns:w="http://schemas.openxmlformats.org/wordprocessingml/2006/main">
  <w:p/>
</w:ftr>
</file>

<file path=word/footer2.xml><?xml version="1.0" encoding="utf-8"?>
<w:ftr xmlns:w="http://schemas.openxmlformats.org/wordprocessingml/2006/main" xmlns:r="http://schemas.openxmlformats.org/officeDocument/2006/relationships">
  <w:p>
    <w:pPr>
      <w:jc w:val="center"/>
      <w:ind w:left="0" w:right="0" w:firstLine="0"/>
    </w:pPr>
    <w:r>
      <w:rPr>
        <w:shd w:val="clear" w:color="auto" w:fill="FFFFFF"/>
      </w:rPr>
      <w:fldChar w:fldCharType="begin"/>
    </w:r>
    <w:r>
      <w:rPr>
        <w:shd w:val="clear" w:color="auto" w:fill="FFFFFF"/>
      </w:rPr>
      <w:instrText xml:space="preserve"> PAGE </w:instrText>
    </w:r>
    <w:r>
      <w:rPr>
        <w:shd w:val="clear" w:color="auto" w:fill="FFFFFF"/>
      </w:rPr>
      <w:fldChar w:fldCharType="separate"/>
    </w:r>
    <w:r>
      <w:rPr>
        <w:shd w:val="clear" w:color="auto" w:fill="FFFFFF"/>
      </w:rPr>
      <w:t>1</w:t>
    </w:r>
    <w:r>
      <w:rPr>
        <w:shd w:val="clear" w:color="auto" w:fill="FFFFFF"/>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updateFields w:val="true"/>
  <w:doNotShadeFormData/>
</w:settings>
</file>

<file path=word/styles.xml><?xml version="1.0" encoding="utf-8"?>
<w:styles xmlns:r="http://schemas.openxmlformats.org/officeDocument/2006/relationships" xmlns:w="http://schemas.openxmlformats.org/wordprocessingml/2006/main">
  <w:docDefaults>
    <w:rPrDefault>
      <w:rPr>
        <w:color w:val="000000"/>
        <w:rFonts w:ascii="Times New Roman" w:hAnsi="Times New Roman" w:cs="Times New Roman" w:eastAsia="Times New Roman"/>
        <w:sz w:val="28"/>
        <w:szCs w:val="28"/>
        <w:lang w:bidi="ar-SA" w:eastAsia="en-US" w:val="en-US"/>
      </w:rPr>
    </w:rPrDefault>
    <w:pPrDefault>
      <w:pPr>
        <w:jc w:val="both"/>
        <w:spacing w:line="360" w:lineRule="auto"/>
      </w:pPr>
    </w:pPrDefault>
  </w:docDefaults>
  <w:latentStyles w:count="276" w:defLockedState="0" w:defQFormat="0" w:defSemiHidden="0" w:defUIPriority="0" w:defUnhideWhenUsed="0"/>
  <w:style w:default="1" w:styleId="Normal" w:type="paragraph">
    <w:name w:val="Normal"/>
    <w:qFormat/>
    <w:pPr>
      <w:ind w:firstLine="709"/>
      <w:jc w:val="both"/>
      <w:spacing w:line="360" w:lineRule="auto"/>
    </w:pPr>
    <w:rPr>
      <w:color w:val="000000"/>
      <w:szCs w:val="28"/>
      <w:sz w:val="28"/>
      <w:rFonts w:ascii="Times New Roman" w:hAnsi="Times New Roman" w:cs="Times New Roman" w:eastAsia="Times New Roman"/>
    </w:rPr>
  </w:style>
  <w:style w:styleId="BodyText" w:type="paragraph">
    <w:name w:val="Body Text"/>
    <w:basedOn w:val="Normal"/>
    <w:link w:val="BodyTextChar"/>
    <w:pPr>
      <w:ind w:firstLine="709"/>
      <w:jc w:val="both"/>
      <w:spacing w:line="360" w:lineRule="auto"/>
    </w:pPr>
    <w:qFormat/>
    <w:rPr>
      <w:color w:val="000000"/>
      <w:szCs w:val="28"/>
      <w:sz w:val="28"/>
      <w:rFonts w:ascii="Times New Roman" w:hAnsi="Times New Roman" w:cs="Times New Roman" w:eastAsia="Times New Roman"/>
    </w:rPr>
  </w:style>
  <w:style w:customStyle="1" w:styleId="FirstParagraph" w:type="paragraph">
    <w:name w:val="First Paragraph"/>
    <w:basedOn w:val="BodyText"/>
    <w:next w:val="BodyText"/>
    <w:qFormat/>
    <w:pPr>
      <w:ind w:firstLine="709"/>
      <w:jc w:val="both"/>
      <w:spacing w:line="360" w:lineRule="auto"/>
    </w:pPr>
    <w:rPr>
      <w:color w:val="000000"/>
      <w:szCs w:val="28"/>
      <w:sz w:val="28"/>
      <w:rFonts w:ascii="Times New Roman" w:hAnsi="Times New Roman" w:cs="Times New Roman" w:eastAsia="Times New Roman"/>
    </w:rPr>
  </w:style>
  <w:style w:customStyle="1" w:styleId="Compact" w:type="paragraph">
    <w:name w:val="Compact"/>
    <w:basedOn w:val="BodyText"/>
    <w:qFormat/>
    <w:pPr>
      <w:ind w:firstLine="709"/>
      <w:jc w:val="both"/>
      <w:spacing w:line="360" w:lineRule="auto"/>
    </w:pPr>
    <w:rPr>
      <w:color w:val="000000"/>
      <w:szCs w:val="28"/>
      <w:sz w:val="28"/>
      <w:rFonts w:ascii="Times New Roman" w:hAnsi="Times New Roman" w:cs="Times New Roman" w:eastAsia="Times New Roman"/>
    </w:rPr>
  </w:style>
  <w:style w:styleId="Title" w:type="paragraph">
    <w:name w:val="Title"/>
    <w:basedOn w:val="Normal"/>
    <w:next w:val="BodyText"/>
    <w:qFormat/>
    <w:pPr>
      <w:ind w:firstLine="0"/>
      <w:keepNext/>
      <w:keepLines/>
      <w:spacing w:line="360" w:lineRule="auto" w:after="40"/>
      <w:jc w:val="center"/>
    </w:pPr>
    <w:rPr>
      <w:u w:val="none"/>
      <w:caps/>
      <w:rFonts w:ascii="Times New Roman" w:hAnsi="Times New Roman" w:cs="Times New Roman" w:eastAsia="Times New Roman"/>
      <w:b/>
      <w:bCs/>
      <w:color w:val="000000"/>
      <w:sz w:val="28"/>
      <w:szCs w:val="28"/>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ind w:firstLine="0"/>
      <w:jc w:val="center"/>
      <w:keepNext/>
      <w:keepLines/>
      <w:spacing w:line="360" w:lineRule="auto" w:after="50"/>
      <w:outlineLvl w:val="0"/>
    </w:pPr>
    <w:rPr>
      <w:u w:val="none"/>
      <w:caps/>
      <w:rFonts w:ascii="Times New Roman" w:hAnsi="Times New Roman" w:cs="Times New Roman" w:eastAsia="Times New Roman"/>
      <w:b/>
      <w:bCs/>
      <w:color w:val="000000"/>
      <w:sz w:val="28"/>
      <w:szCs w:val="28"/>
    </w:rPr>
  </w:style>
  <w:style w:styleId="Heading2" w:type="paragraph">
    <w:name w:val="Heading 2"/>
    <w:basedOn w:val="Normal"/>
    <w:next w:val="BodyText"/>
    <w:uiPriority w:val="9"/>
    <w:unhideWhenUsed/>
    <w:qFormat/>
    <w:pPr>
      <w:ind w:firstLine="709"/>
      <w:jc w:val="left"/>
      <w:keepNext/>
      <w:keepLines/>
      <w:spacing w:line="360" w:lineRule="auto" w:after="40"/>
      <w:outlineLvl w:val="1"/>
    </w:pPr>
    <w:rPr>
      <w:u w:val="none"/>
      <w:caps w:val="0"/>
      <w:smallCaps w:val="0"/>
      <w:rFonts w:ascii="Times New Roman" w:hAnsi="Times New Roman" w:cs="Times New Roman" w:eastAsia="Times New Roman"/>
      <w:b/>
      <w:bCs/>
      <w:color w:val="000000"/>
      <w:sz w:val="28"/>
      <w:szCs w:val="28"/>
    </w:rPr>
  </w:style>
  <w:style w:styleId="Heading3" w:type="paragraph">
    <w:name w:val="Heading 3"/>
    <w:basedOn w:val="Normal"/>
    <w:next w:val="BodyText"/>
    <w:uiPriority w:val="9"/>
    <w:unhideWhenUsed/>
    <w:qFormat/>
    <w:pPr>
      <w:ind w:firstLine="709"/>
      <w:jc w:val="left"/>
      <w:keepNext/>
      <w:keepLines/>
      <w:spacing w:line="360" w:lineRule="auto" w:before="720" w:after="40"/>
      <w:outlineLvl w:val="2"/>
    </w:pPr>
    <w:rPr>
      <w:u w:val="none"/>
      <w:caps w:val="0"/>
      <w:smallCaps w:val="0"/>
      <w:rFonts w:ascii="Times New Roman" w:hAnsi="Times New Roman" w:cs="Times New Roman" w:eastAsia="Times New Roman"/>
      <w:b/>
      <w:bCs/>
      <w:color w:val="000000"/>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footer" Target="footer0.xml"/><Relationship Id="rId10" Type="http://schemas.openxmlformats.org/officeDocument/2006/relationships/footer" Target="footer1.xml"/><Relationship Id="rId11" Type="http://schemas.openxmlformats.org/officeDocument/2006/relationships/footer" Target="footer2.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2026-09-06T11:06:30Z</dcterms:created>
  <dcterms:modified xsi:type="dcterms:W3CDTF">2026-09-06T11:06:30Z</dcterms:modified>
</cp:coreProperties>
</file>

<file path=docProps/custom.xml><?xml version="1.0" encoding="utf-8"?>
<Properties xmlns="http://schemas.openxmlformats.org/officeDocument/2006/custom-properties" xmlns:vt="http://schemas.openxmlformats.org/officeDocument/2006/docPropsVTypes"/>
</file>