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0.xml" ContentType="application/vnd.openxmlformats-officedocument.wordprocessingml.footer+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jc w:val="center"/>
        <w:ind w:firstLine="0"/>
      </w:pPr>
      <w:r>
        <w:t>Наименование образовательного учреждения</w:t>
      </w:r>
    </w:p>
    <w:p>
      <w:pPr>
        <w:jc w:val="center"/>
        <w:spacing w:before="2400"/>
        <w:ind w:firstLine="0"/>
      </w:pPr>
      <w:r>
        <w:rPr>
          <w:b/>
          <w:sz w:val="56"/>
          <w:szCs w:val="56"/>
        </w:rPr>
        <w:t>Проект</w:t>
      </w:r>
    </w:p>
    <w:p>
      <w:pPr>
        <w:jc w:val="center"/>
        <w:ind w:firstLine="0"/>
      </w:pPr>
      <w:r>
        <w:t>на тему</w:t>
      </w:r>
    </w:p>
    <w:p>
      <w:pPr>
        <w:jc w:val="center"/>
        <w:spacing w:before="240"/>
        <w:ind w:firstLine="0"/>
      </w:pPr>
      <w:r>
        <w:rPr>
          <w:b/>
          <w:sz w:val="28"/>
          <w:szCs w:val="28"/>
        </w:rPr>
        <w:t>РОЛЬ ВЫСШЕГО ВОЕННОГО ОБРАЗОВАНИЯ В ВОСПИТАНИИ ГРАЖДАНИНА РЕСПУБЛИКИ БЕЛАРУСЬ</w:t>
      </w:r>
    </w:p>
    <w:p>
      <w:pPr>
        <w:spacing w:before="3600"/>
        <w:ind w:firstLine="0"/>
      </w:pPr>
    </w:p>
    <w:p>
      <w:pPr>
        <w:jc w:val="left"/>
        <w:ind w:left="6500" w:firstLine="0"/>
      </w:pPr>
      <w:r>
        <w:t>Выполнил:</w:t>
      </w:r>
    </w:p>
    <w:p>
      <w:pPr>
        <w:jc w:val="left"/>
        <w:ind w:left="6500" w:firstLine="0"/>
      </w:pPr>
      <w:r>
        <w:t>ФИО</w:t>
      </w:r>
    </w:p>
    <w:p>
      <w:pPr>
        <w:spacing w:before="240"/>
        <w:ind w:firstLine="0"/>
      </w:pPr>
    </w:p>
    <w:p>
      <w:pPr>
        <w:jc w:val="left"/>
        <w:ind w:left="6500" w:firstLine="0"/>
      </w:pPr>
      <w:r>
        <w:t>Руководитель:</w:t>
      </w:r>
    </w:p>
    <w:p>
      <w:pPr>
        <w:jc w:val="left"/>
        <w:ind w:left="6500" w:firstLine="0"/>
      </w:pPr>
      <w:r>
        <w:t>ФИО</w:t>
      </w:r>
    </w:p>
    <w:p>
      <w:pPr>
        <w:sectPr>
          <w:footerReference w:type="default" r:id="rId9"/>
          <w:pgSz w:w="11906" w:h="16838" w:orient="portrait"/>
          <w:pgMar w:top="1134" w:right="851" w:bottom="1134" w:left="1701" w:header="708" w:footer="708" w:gutter="0"/>
          <w:type w:val="nextPage"/>
        </w:sectPr>
      </w:pPr>
    </w:p>
    <w:bookmarkStart w:id="20" w:name="toc"/>
    <w:p>
      <w:pPr>
        <w:spacing w:line="360" w:lineRule="auto" w:after="50" w:afterAutospacing="0" w:beforeAutospacing="0"/>
        <w:pStyle w:val="Heading1"/>
      </w:pPr>
      <w:r>
        <w:t xml:space="preserve">СОДЕРЖАНИЕ</w:t>
      </w:r>
    </w:p>
    <w:p>
      <w:pPr>
        <w:jc w:val="left"/>
        <w:ind w:firstLine="0"/>
        <w:tabs>
          <w:tab w:val="right" w:leader="dot" w:pos="9354"/>
        </w:tabs>
      </w:pPr>
      <w:hyperlink w:anchor="sec-1" w:history="1">
        <w:r>
          <w:rPr>
            <w:color w:val="000000"/>
            <w:u w:val="none"/>
            <w:rStyle w:val="Hyperlink"/>
          </w:rPr>
          <w:t>ВВЕДЕНИЕ</w:t>
        </w:r>
      </w:hyperlink>
      <w:r>
        <w:tab/>
      </w:r>
      <w:r>
        <w:rPr>
          <w:shd w:val="clear" w:color="auto" w:fill="FFFFFF"/>
        </w:rPr>
        <w:fldChar w:fldCharType="begin"/>
      </w:r>
      <w:r>
        <w:rPr>
          <w:shd w:val="clear" w:color="auto" w:fill="FFFFFF"/>
        </w:rPr>
        <w:instrText xml:space="preserve"> PAGEREF sec-1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2" w:history="1">
        <w:r>
          <w:rPr>
            <w:color w:val="000000"/>
            <w:u w:val="none"/>
            <w:rStyle w:val="Hyperlink"/>
          </w:rPr>
          <w:t>1. Теоретические основы гражданского воспитания</w:t>
        </w:r>
      </w:hyperlink>
      <w:r>
        <w:tab/>
      </w:r>
      <w:r>
        <w:rPr>
          <w:shd w:val="clear" w:color="auto" w:fill="FFFFFF"/>
        </w:rPr>
        <w:fldChar w:fldCharType="begin"/>
      </w:r>
      <w:r>
        <w:rPr>
          <w:shd w:val="clear" w:color="auto" w:fill="FFFFFF"/>
        </w:rPr>
        <w:instrText xml:space="preserve"> PAGEREF sec-2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3" w:history="1">
        <w:r>
          <w:rPr>
            <w:color w:val="000000"/>
            <w:u w:val="none"/>
            <w:rStyle w:val="Hyperlink"/>
          </w:rPr>
          <w:t>2. Специфика высшего военного образования</w:t>
        </w:r>
      </w:hyperlink>
      <w:r>
        <w:tab/>
      </w:r>
      <w:r>
        <w:rPr>
          <w:shd w:val="clear" w:color="auto" w:fill="FFFFFF"/>
        </w:rPr>
        <w:fldChar w:fldCharType="begin"/>
      </w:r>
      <w:r>
        <w:rPr>
          <w:shd w:val="clear" w:color="auto" w:fill="FFFFFF"/>
        </w:rPr>
        <w:instrText xml:space="preserve"> PAGEREF sec-3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4" w:history="1">
        <w:r>
          <w:rPr>
            <w:color w:val="000000"/>
            <w:u w:val="none"/>
            <w:rStyle w:val="Hyperlink"/>
          </w:rPr>
          <w:t>3. Патриотическое воспитание в вузах Беларуси</w:t>
        </w:r>
      </w:hyperlink>
      <w:r>
        <w:tab/>
      </w:r>
      <w:r>
        <w:rPr>
          <w:shd w:val="clear" w:color="auto" w:fill="FFFFFF"/>
        </w:rPr>
        <w:fldChar w:fldCharType="begin"/>
      </w:r>
      <w:r>
        <w:rPr>
          <w:shd w:val="clear" w:color="auto" w:fill="FFFFFF"/>
        </w:rPr>
        <w:instrText xml:space="preserve"> PAGEREF sec-4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5" w:history="1">
        <w:r>
          <w:rPr>
            <w:color w:val="000000"/>
            <w:u w:val="none"/>
            <w:rStyle w:val="Hyperlink"/>
          </w:rPr>
          <w:t>4. Анализ действующих образовательных стандартов</w:t>
        </w:r>
      </w:hyperlink>
      <w:r>
        <w:tab/>
      </w:r>
      <w:r>
        <w:rPr>
          <w:shd w:val="clear" w:color="auto" w:fill="FFFFFF"/>
        </w:rPr>
        <w:fldChar w:fldCharType="begin"/>
      </w:r>
      <w:r>
        <w:rPr>
          <w:shd w:val="clear" w:color="auto" w:fill="FFFFFF"/>
        </w:rPr>
        <w:instrText xml:space="preserve"> PAGEREF sec-5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6" w:history="1">
        <w:r>
          <w:rPr>
            <w:color w:val="000000"/>
            <w:u w:val="none"/>
            <w:rStyle w:val="Hyperlink"/>
          </w:rPr>
          <w:t>5. Социологическое исследование среди курсантов</w:t>
        </w:r>
      </w:hyperlink>
      <w:r>
        <w:tab/>
      </w:r>
      <w:r>
        <w:rPr>
          <w:shd w:val="clear" w:color="auto" w:fill="FFFFFF"/>
        </w:rPr>
        <w:fldChar w:fldCharType="begin"/>
      </w:r>
      <w:r>
        <w:rPr>
          <w:shd w:val="clear" w:color="auto" w:fill="FFFFFF"/>
        </w:rPr>
        <w:instrText xml:space="preserve"> PAGEREF sec-6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7" w:history="1">
        <w:r>
          <w:rPr>
            <w:color w:val="000000"/>
            <w:u w:val="none"/>
            <w:rStyle w:val="Hyperlink"/>
          </w:rPr>
          <w:t>6. Проблемы формирования гражданской идентичности</w:t>
        </w:r>
      </w:hyperlink>
      <w:r>
        <w:tab/>
      </w:r>
      <w:r>
        <w:rPr>
          <w:shd w:val="clear" w:color="auto" w:fill="FFFFFF"/>
        </w:rPr>
        <w:fldChar w:fldCharType="begin"/>
      </w:r>
      <w:r>
        <w:rPr>
          <w:shd w:val="clear" w:color="auto" w:fill="FFFFFF"/>
        </w:rPr>
        <w:instrText xml:space="preserve"> PAGEREF sec-7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8" w:history="1">
        <w:r>
          <w:rPr>
            <w:color w:val="000000"/>
            <w:u w:val="none"/>
            <w:rStyle w:val="Hyperlink"/>
          </w:rPr>
          <w:t>7. Рекомендации по совершенствованию воспитания</w:t>
        </w:r>
      </w:hyperlink>
      <w:r>
        <w:tab/>
      </w:r>
      <w:r>
        <w:rPr>
          <w:shd w:val="clear" w:color="auto" w:fill="FFFFFF"/>
        </w:rPr>
        <w:fldChar w:fldCharType="begin"/>
      </w:r>
      <w:r>
        <w:rPr>
          <w:shd w:val="clear" w:color="auto" w:fill="FFFFFF"/>
        </w:rPr>
        <w:instrText xml:space="preserve"> PAGEREF sec-8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9" w:history="1">
        <w:r>
          <w:rPr>
            <w:color w:val="000000"/>
            <w:u w:val="none"/>
            <w:rStyle w:val="Hyperlink"/>
          </w:rPr>
          <w:t>ЗАКЛЮЧЕНИЕ</w:t>
        </w:r>
      </w:hyperlink>
      <w:r>
        <w:tab/>
      </w:r>
      <w:r>
        <w:rPr>
          <w:shd w:val="clear" w:color="auto" w:fill="FFFFFF"/>
        </w:rPr>
        <w:fldChar w:fldCharType="begin"/>
      </w:r>
      <w:r>
        <w:rPr>
          <w:shd w:val="clear" w:color="auto" w:fill="FFFFFF"/>
        </w:rPr>
        <w:instrText xml:space="preserve"> PAGEREF sec-9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bibliography" w:history="1">
        <w:r>
          <w:rPr>
            <w:color w:val="000000"/>
            <w:u w:val="none"/>
            <w:rStyle w:val="Hyperlink"/>
          </w:rPr>
          <w:t>СПИСОК ИСПОЛЬЗОВАННЫХ ИСТОЧНИКОВ</w:t>
        </w:r>
      </w:hyperlink>
      <w:r>
        <w:tab/>
      </w:r>
      <w:r>
        <w:rPr>
          <w:shd w:val="clear" w:color="auto" w:fill="FFFFFF"/>
        </w:rPr>
        <w:fldChar w:fldCharType="begin"/>
      </w:r>
      <w:r>
        <w:rPr>
          <w:shd w:val="clear" w:color="auto" w:fill="FFFFFF"/>
        </w:rPr>
        <w:instrText xml:space="preserve"> PAGEREF bibliography \h </w:instrText>
      </w:r>
      <w:r>
        <w:rPr>
          <w:shd w:val="clear" w:color="auto" w:fill="FFFFFF"/>
        </w:rPr>
        <w:fldChar w:fldCharType="separate"/>
      </w:r>
      <w:r>
        <w:rPr>
          <w:shd w:val="clear" w:color="auto" w:fill="FFFFFF"/>
        </w:rPr>
        <w:t>1</w:t>
      </w:r>
      <w:r>
        <w:rPr>
          <w:shd w:val="clear" w:color="auto" w:fill="FFFFFF"/>
        </w:rPr>
        <w:fldChar w:fldCharType="end"/>
      </w:r>
    </w:p>
    <w:p>
      <w:pPr>
        <w:sectPr>
          <w:footerReference w:type="default" r:id="rId10"/>
          <w:pgSz w:w="11906" w:h="16838" w:orient="portrait"/>
          <w:pgMar w:top="1134" w:right="851" w:bottom="1134" w:left="1701" w:header="708" w:footer="708" w:gutter="0"/>
          <w:type w:val="nextPage"/>
        </w:sectPr>
      </w:pPr>
    </w:p>
    <w:bookmarkEnd w:id="20"/>
    <w:bookmarkStart w:id="28" w:name="sec-1"/>
    <w:p>
      <w:pPr>
        <w:spacing w:line="360" w:lineRule="auto" w:after="50" w:afterAutospacing="0" w:beforeAutospacing="0"/>
        <w:pStyle w:val="Heading1"/>
      </w:pPr>
      <w:r>
        <w:t xml:space="preserve">ВВЕДЕНИЕ</w:t>
      </w:r>
    </w:p>
    <w:p>
      <w:pPr>
        <w:pStyle w:val="FirstParagraph"/>
      </w:pPr>
      <w:r>
        <w:rPr>
          <w:bCs/>
          <w:b/>
        </w:rPr>
        <w:t xml:space="preserve">Актуальность темы</w:t>
      </w:r>
      <w:r>
        <w:t xml:space="preserve"> </w:t>
      </w:r>
      <w:r>
        <w:t xml:space="preserve">обусловлена стратегической необходимостью всестороннего укрепления государственной идентичности, суверенитета и гражданского патриотизма среди современной молодежи Республики Беларусь в условиях сложной международной обстановки. Высшее военное образование в современных реалиях выступает уникальным государственным институтом, который призван эффективно формировать не только высококлассных военных специалистов, но и преданных своей родине граждан, обладающих высоким уровнем ответственности и готовых к выполнению священного конституционного долга по защите своего отечества.</w:t>
      </w:r>
    </w:p>
    <w:p>
      <w:pPr>
        <w:pStyle w:val="BodyText"/>
      </w:pPr>
      <w:r>
        <w:rPr>
          <w:bCs/>
          <w:b/>
        </w:rPr>
        <w:t xml:space="preserve">Проблема</w:t>
      </w:r>
      <w:r>
        <w:t xml:space="preserve"> </w:t>
      </w:r>
      <w:r>
        <w:t xml:space="preserve">данного исследования заключается в существующем противоречии между высокими требованиями общества к уровню гражданственности выпускников военных вузов и недостаточной систематизацией методов военного воспитания [6] для их успешной интеграции в общую государственную систему воспитания подрастающего поколения страны.</w:t>
      </w:r>
    </w:p>
    <w:p>
      <w:pPr>
        <w:pStyle w:val="BodyText"/>
      </w:pPr>
      <w:r>
        <w:rPr>
          <w:bCs/>
          <w:b/>
        </w:rPr>
        <w:t xml:space="preserve">Объектом исследования</w:t>
      </w:r>
      <w:r>
        <w:t xml:space="preserve"> </w:t>
      </w:r>
      <w:r>
        <w:t xml:space="preserve">является весь комплекс целенаправленной учебно-воспитательной деятельности и сопутствующих социокультурных процессов, реализуемых в ведущих высших военных учебных заведениях Республики Беларусь.</w:t>
      </w:r>
    </w:p>
    <w:p>
      <w:pPr>
        <w:pStyle w:val="BodyText"/>
      </w:pPr>
      <w:r>
        <w:rPr>
          <w:bCs/>
          <w:b/>
        </w:rPr>
        <w:t xml:space="preserve">Целью работы</w:t>
      </w:r>
      <w:r>
        <w:t xml:space="preserve"> </w:t>
      </w:r>
      <w:r>
        <w:t xml:space="preserve">является комплексное теоретическое и прикладное определение ключевого места и реального потенциала системы высшего военного образования в процессах формирования прочной гражданской позиции и патриотических ценностей у курсантов [12].</w:t>
      </w:r>
    </w:p>
    <w:p>
      <w:pPr>
        <w:pStyle w:val="BodyText"/>
      </w:pPr>
      <w:r>
        <w:rPr>
          <w:bCs/>
          <w:b/>
        </w:rPr>
        <w:t xml:space="preserve">Задачи работы</w:t>
      </w:r>
      <w:r>
        <w:t xml:space="preserve"> </w:t>
      </w:r>
      <w:r>
        <w:t xml:space="preserve">состоят в подробном изучении теоретико-методологических основы патриотического воспитания в педагогике [22], проведении качественного сравнительного анализа действующих учебных программ и воспитательных планов белорусских вузов, организации практического социологического исследования среди курсантов и преподавателей, а также в формулировании конкретных прикладных рекомендаций.</w:t>
      </w:r>
    </w:p>
    <w:p>
      <w:pPr>
        <w:pStyle w:val="BodyText"/>
      </w:pPr>
      <w:r>
        <w:rPr>
          <w:bCs/>
          <w:b/>
        </w:rPr>
        <w:t xml:space="preserve">Методом исследования</w:t>
      </w:r>
      <w:r>
        <w:t xml:space="preserve"> </w:t>
      </w:r>
      <w:r>
        <w:t xml:space="preserve">выступает системный междисциплинарный подход, включающий глубокий теоретический анализ отечественной научной литературы, изучение нормативно-правовых актов в сфере национальной безопасности, а также метод социологического опроса и обобщения педагогического опыта.</w:t>
      </w:r>
    </w:p>
    <w:p>
      <w:pPr>
        <w:pStyle w:val="BodyText"/>
      </w:pPr>
      <w:r>
        <w:rPr>
          <w:bCs/>
          <w:b/>
        </w:rPr>
        <w:t xml:space="preserve">Практическая значимость</w:t>
      </w:r>
      <w:r>
        <w:t xml:space="preserve"> </w:t>
      </w:r>
      <w:r>
        <w:t xml:space="preserve">данной работы заключается в том, что все сформулированные выводы и предложенные рекомендации могут быть непосредственно применены на практике руководством военных кафедр и академий, а также специалистами по идеологической и воспитательной работе в Республике Беларусь для совершенствования программ гражданского воспитания молодежи.</w:t>
      </w:r>
    </w:p>
    <w:p>
      <w:r>
        <w:br w:type="page"/>
      </w:r>
    </w:p>
    <w:bookmarkStart w:id="21" w:name="sec-2"/>
    <w:p>
      <w:pPr>
        <w:spacing w:line="360" w:lineRule="auto" w:after="40" w:afterAutospacing="0" w:beforeAutospacing="0"/>
        <w:pStyle w:val="Heading2"/>
      </w:pPr>
      <w:r>
        <w:t xml:space="preserve">1. Теоретические основы гражданского воспитания</w:t>
      </w:r>
    </w:p>
    <w:p>
      <w:pPr>
        <w:pStyle w:val="FirstParagraph"/>
      </w:pPr>
      <w:r>
        <w:t xml:space="preserve">Гражданское воспитание представляет собой один из ключевых элементов современной системы непрерывного образования и социализации личности, направленный на формирование устойчивых ценностных ориентиров, осознание гражданского долга и ответственности перед обществом и государством. В педагогической науке данное понятие рассматривается как целенаправленный, систематический процесс формирования качеств гражданина, сочетающего в себе высокую правовую культуру, развитое патриотическое самосознание, а также искреннюю готовность к активной общественно полезной деятельности на благо своего народа. Исследователи подчеркивают, что теоретической основой гражданского воспитания выступает триединство базовых категорий: гражданственность, патриотизм и устойчивая гражданская идентичность.</w:t>
      </w:r>
    </w:p>
    <w:p>
      <w:pPr>
        <w:pStyle w:val="BodyText"/>
      </w:pPr>
      <w:r>
        <w:t xml:space="preserve">Гражданственность в теоретическом дискурсе выражается в глубоком понимании человеком своих прав и обязанностей, искреннем уважении к законам государства и готовности активно содействовать его социально-экономическому развитию. Патриотизм, в свою очередь, выступает в качестве эмоционально-ценностного отношения к своей Родине, ее историческому прошлому, самобытной культуре и традициям, а также осознанной готовности к защите ее суверенитета при любых обстоятельствах. Гражданская идентичность органично объединяет эти категории, формируя у индивида глубокое внутреннее осознание своей сопричастности к народу конкретной страны, сопереживание ее трудностям и победам, а также разделение ее исторической судьбы.</w:t>
      </w:r>
    </w:p>
    <w:p>
      <w:pPr>
        <w:pStyle w:val="BodyText"/>
      </w:pPr>
      <w:r>
        <w:t xml:space="preserve">В современной научно-педагогической литературе теоретико-методологическую базу гражданского воспитания составляют несколько ключевых подходов, каждый из которых раскрывает определенные грани этого сложного процесса:</w:t>
      </w:r>
    </w:p>
    <w:p>
      <w:pPr>
        <w:numPr>
          <w:ilvl w:val="0"/>
          <w:numId w:val="1001"/>
        </w:numPr>
      </w:pPr>
      <w:r>
        <w:t xml:space="preserve">Аксиологический подход [6] ориентирует образовательный процесс на формирование системы ценностей личности, где высшими гуманитарными ориентирами выступают Отечество, государственный суверенитет, мир, согласие и социальная справедливость;</w:t>
      </w:r>
    </w:p>
    <w:p>
      <w:pPr>
        <w:numPr>
          <w:ilvl w:val="0"/>
          <w:numId w:val="1001"/>
        </w:numPr>
      </w:pPr>
      <w:r>
        <w:t xml:space="preserve">Системный подход [6] предполагает рассмотрение всей воспитательной работы как целостной структуры, включающей учебную деятельность, внеаудиторную работу, а также активное взаимодействие с различными государственными и общественными институтами;</w:t>
      </w:r>
    </w:p>
    <w:p>
      <w:pPr>
        <w:numPr>
          <w:ilvl w:val="0"/>
          <w:numId w:val="1001"/>
        </w:numPr>
      </w:pPr>
      <w:r>
        <w:t xml:space="preserve">Деятельностный подход [6] подчеркивает, что гражданские качества не могут быть сформированы исключительно путем пассивного усвоения теоретических знаний. Они кристаллизуются в процессе реальной практической деятельности, выполнения социально значимых задач и добросовестного выполнения служебного или общественного долга.</w:t>
      </w:r>
    </w:p>
    <w:p>
      <w:pPr>
        <w:pStyle w:val="FirstParagraph"/>
      </w:pPr>
      <w:r>
        <w:t xml:space="preserve">В контексте Республики Беларусь теоретическая модель гражданского воспитания базируется на государственной идеологии, которая отражает национальные интересы, уважение к историческому наследию и традиционным ценностям белорусского народа. Важным элементом этой системы является преемственность поколений, память о подвиге белорусского народа в Великой Отечественной войне и приверженность идее укрепления независимого, сильного государства. Гражданское воспитание в данном случае выступает не просто как передача суммы знаний о государственном устройстве, а как глубокая ценностная трансформация личности, способствующая формированию государственного мышления.</w:t>
      </w:r>
    </w:p>
    <w:p>
      <w:pPr>
        <w:pStyle w:val="BodyText"/>
      </w:pPr>
      <w:r>
        <w:t xml:space="preserve">Для систематизации понимания структуры гражданственности целесообразно выделить ее ключевые компоненты:</w:t>
      </w:r>
    </w:p>
    <w:p>
      <w:pPr>
        <w:jc w:val="left"/>
        <w:ind w:firstLine="0"/>
        <w:spacing w:after="120"/>
      </w:pPr>
      <w:r>
        <w:rPr>
          <w:b/>
        </w:rPr>
        <w:t>Таблица 1 – Ключевые компоненты гражданственности и их педагогические результаты</w:t>
      </w:r>
    </w:p>
    <w:tbl>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jc w:val="center"/>
        <w:tblLayout w:type="autofit"/>
        <w:tblStyle w:val="TableGrid"/>
        <w:tblW w:w="9354" w:type="dxa"/>
        <w:tblLook w:firstRow="1" w:lastRow="0" w:firstColumn="0" w:lastColumn="0" w:noHBand="0" w:noVBand="0" w:val="0020"/>
      </w:tblPr>
      <w:tblGrid>
        <w:gridCol w:w="2640"/>
        <w:gridCol w:w="2640"/>
        <w:gridCol w:w="2640"/>
      </w:tblGrid>
      <w:tr>
        <w:trPr>
          <w:tblHeader w:val="true"/>
        </w:trPr>
        <w:tc>
          <w:tcPr>
            <w:vAlign w:val="center"/>
          </w:tcPr>
          <w:p>
            <w:pPr>
              <w:ind w:firstLine="0"/>
              <w:pStyle w:val="Compact"/>
              <w:jc w:val="center"/>
            </w:pPr>
            <w:r>
              <w:rPr>
                <w:b/>
                <w:bCs/>
                <w:sz w:val="24"/>
                <w:szCs w:val="24"/>
              </w:rPr>
              <w:t xml:space="preserve">Компонент</w:t>
            </w:r>
          </w:p>
        </w:tc>
        <w:tc>
          <w:tcPr>
            <w:vAlign w:val="center"/>
          </w:tcPr>
          <w:p>
            <w:pPr>
              <w:ind w:firstLine="0"/>
              <w:pStyle w:val="Compact"/>
              <w:jc w:val="center"/>
            </w:pPr>
            <w:r>
              <w:rPr>
                <w:b/>
                <w:bCs/>
                <w:sz w:val="24"/>
                <w:szCs w:val="24"/>
              </w:rPr>
              <w:t xml:space="preserve">Сущность и содержание</w:t>
            </w:r>
          </w:p>
        </w:tc>
        <w:tc>
          <w:tcPr>
            <w:vAlign w:val="center"/>
          </w:tcPr>
          <w:p>
            <w:pPr>
              <w:ind w:firstLine="0"/>
              <w:pStyle w:val="Compact"/>
              <w:jc w:val="center"/>
            </w:pPr>
            <w:r>
              <w:rPr>
                <w:b/>
                <w:bCs/>
                <w:sz w:val="24"/>
                <w:szCs w:val="24"/>
              </w:rPr>
              <w:t xml:space="preserve">Педагогический результат</w:t>
            </w:r>
          </w:p>
        </w:tc>
      </w:tr>
      <w:tr>
        <w:tc>
          <w:tcPr>
            <w:vAlign w:val="center"/>
          </w:tcPr>
          <w:p>
            <w:pPr>
              <w:ind w:firstLine="0"/>
              <w:pStyle w:val="Compact"/>
              <w:jc w:val="center"/>
            </w:pPr>
            <w:r>
              <w:rPr>
                <w:sz w:val="24"/>
                <w:szCs w:val="24"/>
              </w:rPr>
              <w:t xml:space="preserve">Когнитивный</w:t>
            </w:r>
          </w:p>
        </w:tc>
        <w:tc>
          <w:tcPr>
            <w:vAlign w:val="center"/>
          </w:tcPr>
          <w:p>
            <w:pPr>
              <w:ind w:firstLine="0"/>
              <w:pStyle w:val="Compact"/>
              <w:jc w:val="center"/>
            </w:pPr>
            <w:r>
              <w:rPr>
                <w:sz w:val="24"/>
                <w:szCs w:val="24"/>
              </w:rPr>
              <w:t xml:space="preserve">Знание законов, истории государства, прав и обязанностей</w:t>
            </w:r>
          </w:p>
        </w:tc>
        <w:tc>
          <w:tcPr>
            <w:vAlign w:val="center"/>
          </w:tcPr>
          <w:p>
            <w:pPr>
              <w:ind w:firstLine="0"/>
              <w:pStyle w:val="Compact"/>
              <w:jc w:val="center"/>
            </w:pPr>
            <w:r>
              <w:rPr>
                <w:sz w:val="24"/>
                <w:szCs w:val="24"/>
              </w:rPr>
              <w:t xml:space="preserve">Правовая грамотность, государственное мировоззрение</w:t>
            </w:r>
          </w:p>
        </w:tc>
      </w:tr>
      <w:tr>
        <w:tc>
          <w:tcPr>
            <w:vAlign w:val="center"/>
          </w:tcPr>
          <w:p>
            <w:pPr>
              <w:ind w:firstLine="0"/>
              <w:pStyle w:val="Compact"/>
              <w:jc w:val="center"/>
            </w:pPr>
            <w:r>
              <w:rPr>
                <w:sz w:val="24"/>
                <w:szCs w:val="24"/>
              </w:rPr>
              <w:t xml:space="preserve">Ценностно-эмоциональный</w:t>
            </w:r>
          </w:p>
        </w:tc>
        <w:tc>
          <w:tcPr>
            <w:vAlign w:val="center"/>
          </w:tcPr>
          <w:p>
            <w:pPr>
              <w:ind w:firstLine="0"/>
              <w:pStyle w:val="Compact"/>
              <w:jc w:val="center"/>
            </w:pPr>
            <w:r>
              <w:rPr>
                <w:sz w:val="24"/>
                <w:szCs w:val="24"/>
              </w:rPr>
              <w:t xml:space="preserve">Чувство гордости за Родину, уважение к государственным символам</w:t>
            </w:r>
          </w:p>
        </w:tc>
        <w:tc>
          <w:tcPr>
            <w:vAlign w:val="center"/>
          </w:tcPr>
          <w:p>
            <w:pPr>
              <w:ind w:firstLine="0"/>
              <w:pStyle w:val="Compact"/>
              <w:jc w:val="center"/>
            </w:pPr>
            <w:r>
              <w:rPr>
                <w:sz w:val="24"/>
                <w:szCs w:val="24"/>
              </w:rPr>
              <w:t xml:space="preserve">Патриотизм, гражданская идентичность, долг</w:t>
            </w:r>
          </w:p>
        </w:tc>
      </w:tr>
      <w:tr>
        <w:tc>
          <w:tcPr>
            <w:vAlign w:val="center"/>
          </w:tcPr>
          <w:p>
            <w:pPr>
              <w:ind w:firstLine="0"/>
              <w:pStyle w:val="Compact"/>
              <w:jc w:val="center"/>
            </w:pPr>
            <w:r>
              <w:rPr>
                <w:sz w:val="24"/>
                <w:szCs w:val="24"/>
              </w:rPr>
              <w:t xml:space="preserve">Деятельностный</w:t>
            </w:r>
          </w:p>
        </w:tc>
        <w:tc>
          <w:tcPr>
            <w:vAlign w:val="center"/>
          </w:tcPr>
          <w:p>
            <w:pPr>
              <w:ind w:firstLine="0"/>
              <w:pStyle w:val="Compact"/>
              <w:jc w:val="center"/>
            </w:pPr>
            <w:r>
              <w:rPr>
                <w:sz w:val="24"/>
                <w:szCs w:val="24"/>
              </w:rPr>
              <w:t xml:space="preserve">Участие в общественной жизни, готовность к служению Отечеству</w:t>
            </w:r>
          </w:p>
        </w:tc>
        <w:tc>
          <w:tcPr>
            <w:vAlign w:val="center"/>
          </w:tcPr>
          <w:p>
            <w:pPr>
              <w:ind w:firstLine="0"/>
              <w:pStyle w:val="Compact"/>
              <w:jc w:val="center"/>
            </w:pPr>
            <w:r>
              <w:rPr>
                <w:sz w:val="24"/>
                <w:szCs w:val="24"/>
              </w:rPr>
              <w:t xml:space="preserve">Активная гражданская позиция, дисциплина</w:t>
            </w:r>
          </w:p>
        </w:tc>
      </w:tr>
    </w:tbl>
    <w:p>
      <w:pPr>
        <w:pStyle w:val="BodyText"/>
      </w:pPr>
      <w:r>
        <w:t xml:space="preserve">Таким образом, теоретические основы гражданского воспитания представляют собой многоаспектную систему, интегрирующую когнитивные, эмоционально-ценностные и практически-деятельностные компоненты. Эффективность этого процесса напрямую зависит от того, насколько глубоко ценности патриотизма и гражданственности укоренены в содержании образования и как именно они транслируются через образовательную среду. В условиях высшей военной школы данные теоретические принципы приобретают особую специфику, так как служебный долг и профессиональная деятельность курсантов неразрывно связаны с обеспечением национальной безопасности и защитой Отечества. Это предопределяет необходимость детального исследования педагогического потенциала военных вузов как уникальных институтов формирования гражданина и патриота.</w:t>
      </w:r>
    </w:p>
    <w:p>
      <w:r>
        <w:br w:type="page"/>
      </w:r>
    </w:p>
    <w:bookmarkEnd w:id="21"/>
    <w:bookmarkStart w:id="22" w:name="sec-3"/>
    <w:p>
      <w:pPr>
        <w:spacing w:line="360" w:lineRule="auto" w:after="40" w:afterAutospacing="0" w:beforeAutospacing="0"/>
        <w:pStyle w:val="Heading2"/>
      </w:pPr>
      <w:r>
        <w:t xml:space="preserve">2. Специфика высшего военного образования</w:t>
      </w:r>
    </w:p>
    <w:p>
      <w:pPr>
        <w:pStyle w:val="FirstParagraph"/>
      </w:pPr>
      <w:r>
        <w:t xml:space="preserve">Высшее военное образование в Республики Беларусь представляет собой специализированную государственную систему подготовки офицерских кадров, обладающую глубокой спецификой, которая коренным образом отличает её от гражданской высшей школы. Данная специфика обусловлена не только содержанием учебных планов, но и самой формой организации жизнедеятельности обучающихся (курсантов), которая подчинена строгой воинской дисциплине, требованиям уставов Вооруженных Сил и необходимости формирования у будущих офицеров высоких морально-волевых и гражданских качеств [18]. Основным вектором этой уникальной образовательной модели выступает подготовка не просто высококлассного специалиста, а гражданина-патриота, готового к осознанному самопожертвованию ради защиты государственного суверенитета, национальных интересов и территориальной целостности страны.</w:t>
      </w:r>
    </w:p>
    <w:p>
      <w:pPr>
        <w:pStyle w:val="BodyText"/>
      </w:pPr>
      <w:r>
        <w:t xml:space="preserve">Первой и наиболее значимой особенностью высшего военного образования является жесткая уставная регламентация всех сфер повседневной жизни курсантов. Строгий распорядок дня, воинская субординация, принцип единоначалия и совместное проживание формируют закрытую воспитательную микросреду. В отличие от студентов гражданских вузов, курсанты с первых дней обучения погружаются в условия непрерывного коллективного быта и ответственности. В этой обстановке личные эгоистические интересы неизбежно подчиняются коллективным и общественно значимым целям. Подобная организация учебного и воспитательного процесса способствует эффективному преодолению молодежного индивидуализма, формируя устойчивые навыки командного взаимодействия [19], искренней войсковой взаимовыручки и глубокой личной ответственности не только за свои действия, но и за успехи товарищей по службе. Воинский коллектив в данном контексте становится первичным и важнейшим институтом социализации и формирования основ гражданственности.</w:t>
      </w:r>
    </w:p>
    <w:p>
      <w:pPr>
        <w:pStyle w:val="BodyText"/>
      </w:pPr>
      <w:r>
        <w:t xml:space="preserve">Вторая ключевая особенность заключается в особом юридическом и социальном статусе обучающегося. Курсант белорусского военного вуза является военнослужащим, принесшим Военную присягу на верность народу Республики Беларусь. Этот торжественный акт накладывает на молодого человека колоссальную морально-нравственную ответственность перед обществом и государством. Процесс обучения в военном институте или академии непрерывно сочетается с выполнением реальных служебных обязанностей, несением внутренней, караульной и гарнизонной служб, регулярным участием в практических учениях, полевых выходах и маневрах. Таким образом, понятие гражданского долга для курсанта переходит из теоретической плоскости в область ежедневной практической деятельности, формируя у него осознанную готовность стоять на страже своей Родины в любых условиях.</w:t>
      </w:r>
    </w:p>
    <w:p>
      <w:pPr>
        <w:pStyle w:val="BodyText"/>
      </w:pPr>
      <w:r>
        <w:t xml:space="preserve">Для наглядного сопоставления ключевых различий между образовательными средами можно рассмотреть следующую сравнительную таблицу:</w:t>
      </w:r>
    </w:p>
    <w:p>
      <w:pPr>
        <w:jc w:val="left"/>
        <w:ind w:firstLine="0"/>
        <w:spacing w:after="120"/>
      </w:pPr>
      <w:r>
        <w:rPr>
          <w:b/>
        </w:rPr>
        <w:t>Таблица 2 – Сравнительная характеристика гражданского и военного высшего образования</w:t>
      </w:r>
    </w:p>
    <w:tbl>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jc w:val="center"/>
        <w:tblLayout w:type="autofit"/>
        <w:tblStyle w:val="TableGrid"/>
        <w:tblW w:w="9354" w:type="dxa"/>
        <w:tblLook w:firstRow="1" w:lastRow="0" w:firstColumn="0" w:lastColumn="0" w:noHBand="0" w:noVBand="0" w:val="0020"/>
      </w:tblPr>
      <w:tblGrid>
        <w:gridCol w:w="2640"/>
        <w:gridCol w:w="2640"/>
        <w:gridCol w:w="2640"/>
      </w:tblGrid>
      <w:tr>
        <w:trPr>
          <w:tblHeader w:val="true"/>
        </w:trPr>
        <w:tc>
          <w:tcPr>
            <w:vAlign w:val="center"/>
          </w:tcPr>
          <w:p>
            <w:pPr>
              <w:ind w:firstLine="0"/>
              <w:pStyle w:val="Compact"/>
              <w:jc w:val="center"/>
            </w:pPr>
            <w:r>
              <w:rPr>
                <w:b/>
                <w:bCs/>
                <w:sz w:val="24"/>
                <w:szCs w:val="24"/>
              </w:rPr>
              <w:t xml:space="preserve">Параметр сравнения</w:t>
            </w:r>
          </w:p>
        </w:tc>
        <w:tc>
          <w:tcPr>
            <w:vAlign w:val="center"/>
          </w:tcPr>
          <w:p>
            <w:pPr>
              <w:ind w:firstLine="0"/>
              <w:pStyle w:val="Compact"/>
              <w:jc w:val="center"/>
            </w:pPr>
            <w:r>
              <w:rPr>
                <w:b/>
                <w:bCs/>
                <w:sz w:val="24"/>
                <w:szCs w:val="24"/>
              </w:rPr>
              <w:t xml:space="preserve">Гражданское высшее образование</w:t>
            </w:r>
          </w:p>
        </w:tc>
        <w:tc>
          <w:tcPr>
            <w:vAlign w:val="center"/>
          </w:tcPr>
          <w:p>
            <w:pPr>
              <w:ind w:firstLine="0"/>
              <w:pStyle w:val="Compact"/>
              <w:jc w:val="center"/>
            </w:pPr>
            <w:r>
              <w:rPr>
                <w:b/>
                <w:bCs/>
                <w:sz w:val="24"/>
                <w:szCs w:val="24"/>
              </w:rPr>
              <w:t xml:space="preserve">Высшее военное образование</w:t>
            </w:r>
          </w:p>
        </w:tc>
      </w:tr>
      <w:tr>
        <w:tc>
          <w:tcPr>
            <w:vAlign w:val="center"/>
          </w:tcPr>
          <w:p>
            <w:pPr>
              <w:ind w:firstLine="0"/>
              <w:pStyle w:val="Compact"/>
              <w:jc w:val="center"/>
            </w:pPr>
            <w:r>
              <w:rPr>
                <w:sz w:val="24"/>
                <w:szCs w:val="24"/>
              </w:rPr>
              <w:t xml:space="preserve">Правовой статус</w:t>
            </w:r>
          </w:p>
        </w:tc>
        <w:tc>
          <w:tcPr>
            <w:vAlign w:val="center"/>
          </w:tcPr>
          <w:p>
            <w:pPr>
              <w:ind w:firstLine="0"/>
              <w:pStyle w:val="Compact"/>
              <w:jc w:val="center"/>
            </w:pPr>
            <w:r>
              <w:rPr>
                <w:sz w:val="24"/>
                <w:szCs w:val="24"/>
              </w:rPr>
              <w:t xml:space="preserve">Студент (гражданские права)</w:t>
            </w:r>
          </w:p>
        </w:tc>
        <w:tc>
          <w:tcPr>
            <w:vAlign w:val="center"/>
          </w:tcPr>
          <w:p>
            <w:pPr>
              <w:ind w:firstLine="0"/>
              <w:pStyle w:val="Compact"/>
              <w:jc w:val="center"/>
            </w:pPr>
            <w:r>
              <w:rPr>
                <w:sz w:val="24"/>
                <w:szCs w:val="24"/>
              </w:rPr>
              <w:t xml:space="preserve">Курсант (военнослужащий, принявший присягу)</w:t>
            </w:r>
          </w:p>
        </w:tc>
      </w:tr>
      <w:tr>
        <w:tc>
          <w:tcPr>
            <w:vAlign w:val="center"/>
          </w:tcPr>
          <w:p>
            <w:pPr>
              <w:ind w:firstLine="0"/>
              <w:pStyle w:val="Compact"/>
              <w:jc w:val="center"/>
            </w:pPr>
            <w:r>
              <w:rPr>
                <w:sz w:val="24"/>
                <w:szCs w:val="24"/>
              </w:rPr>
              <w:t xml:space="preserve">Жизнедеятельность</w:t>
            </w:r>
          </w:p>
        </w:tc>
        <w:tc>
          <w:tcPr>
            <w:vAlign w:val="center"/>
          </w:tcPr>
          <w:p>
            <w:pPr>
              <w:ind w:firstLine="0"/>
              <w:pStyle w:val="Compact"/>
              <w:jc w:val="center"/>
            </w:pPr>
            <w:r>
              <w:rPr>
                <w:sz w:val="24"/>
                <w:szCs w:val="24"/>
              </w:rPr>
              <w:t xml:space="preserve">Свободный режим, самостоятельное время</w:t>
            </w:r>
          </w:p>
        </w:tc>
        <w:tc>
          <w:tcPr>
            <w:vAlign w:val="center"/>
          </w:tcPr>
          <w:p>
            <w:pPr>
              <w:ind w:firstLine="0"/>
              <w:pStyle w:val="Compact"/>
              <w:jc w:val="center"/>
            </w:pPr>
            <w:r>
              <w:rPr>
                <w:sz w:val="24"/>
                <w:szCs w:val="24"/>
              </w:rPr>
              <w:t xml:space="preserve">Строгий распорядок дня, казарменное положение</w:t>
            </w:r>
          </w:p>
        </w:tc>
      </w:tr>
      <w:tr>
        <w:tc>
          <w:tcPr>
            <w:vAlign w:val="center"/>
          </w:tcPr>
          <w:p>
            <w:pPr>
              <w:ind w:firstLine="0"/>
              <w:pStyle w:val="Compact"/>
              <w:jc w:val="center"/>
            </w:pPr>
            <w:r>
              <w:rPr>
                <w:sz w:val="24"/>
                <w:szCs w:val="24"/>
              </w:rPr>
              <w:t xml:space="preserve">Главные ценности</w:t>
            </w:r>
          </w:p>
        </w:tc>
        <w:tc>
          <w:tcPr>
            <w:vAlign w:val="center"/>
          </w:tcPr>
          <w:p>
            <w:pPr>
              <w:ind w:firstLine="0"/>
              <w:pStyle w:val="Compact"/>
              <w:jc w:val="center"/>
            </w:pPr>
            <w:r>
              <w:rPr>
                <w:sz w:val="24"/>
                <w:szCs w:val="24"/>
              </w:rPr>
              <w:t xml:space="preserve">Личный успех, карьера</w:t>
            </w:r>
          </w:p>
        </w:tc>
        <w:tc>
          <w:tcPr>
            <w:vAlign w:val="center"/>
          </w:tcPr>
          <w:p>
            <w:pPr>
              <w:ind w:firstLine="0"/>
              <w:pStyle w:val="Compact"/>
              <w:jc w:val="center"/>
            </w:pPr>
            <w:r>
              <w:rPr>
                <w:sz w:val="24"/>
                <w:szCs w:val="24"/>
              </w:rPr>
              <w:t xml:space="preserve">Патриотизм, верность долгу, взаимовыручка</w:t>
            </w:r>
          </w:p>
        </w:tc>
      </w:tr>
      <w:tr>
        <w:tc>
          <w:tcPr>
            <w:vAlign w:val="center"/>
          </w:tcPr>
          <w:p>
            <w:pPr>
              <w:ind w:firstLine="0"/>
              <w:pStyle w:val="Compact"/>
              <w:jc w:val="center"/>
            </w:pPr>
            <w:r>
              <w:rPr>
                <w:sz w:val="24"/>
                <w:szCs w:val="24"/>
              </w:rPr>
              <w:t xml:space="preserve">Характер дисциплины</w:t>
            </w:r>
          </w:p>
        </w:tc>
        <w:tc>
          <w:tcPr>
            <w:vAlign w:val="center"/>
          </w:tcPr>
          <w:p>
            <w:pPr>
              <w:ind w:firstLine="0"/>
              <w:pStyle w:val="Compact"/>
              <w:jc w:val="center"/>
            </w:pPr>
            <w:r>
              <w:rPr>
                <w:sz w:val="24"/>
                <w:szCs w:val="24"/>
              </w:rPr>
              <w:t xml:space="preserve">Академическая успеваемость</w:t>
            </w:r>
          </w:p>
        </w:tc>
        <w:tc>
          <w:tcPr>
            <w:vAlign w:val="center"/>
          </w:tcPr>
          <w:p>
            <w:pPr>
              <w:ind w:firstLine="0"/>
              <w:pStyle w:val="Compact"/>
              <w:jc w:val="center"/>
            </w:pPr>
            <w:r>
              <w:rPr>
                <w:sz w:val="24"/>
                <w:szCs w:val="24"/>
              </w:rPr>
              <w:t xml:space="preserve">Уставная дисциплина, единоначалие</w:t>
            </w:r>
          </w:p>
        </w:tc>
      </w:tr>
      <w:tr>
        <w:tc>
          <w:tcPr>
            <w:vAlign w:val="center"/>
          </w:tcPr>
          <w:p>
            <w:pPr>
              <w:ind w:firstLine="0"/>
              <w:pStyle w:val="Compact"/>
              <w:jc w:val="center"/>
            </w:pPr>
            <w:r>
              <w:rPr>
                <w:sz w:val="24"/>
                <w:szCs w:val="24"/>
              </w:rPr>
              <w:t xml:space="preserve">Вектор воспитания</w:t>
            </w:r>
          </w:p>
        </w:tc>
        <w:tc>
          <w:tcPr>
            <w:vAlign w:val="center"/>
          </w:tcPr>
          <w:p>
            <w:pPr>
              <w:ind w:firstLine="0"/>
              <w:pStyle w:val="Compact"/>
              <w:jc w:val="center"/>
            </w:pPr>
            <w:r>
              <w:rPr>
                <w:sz w:val="24"/>
                <w:szCs w:val="24"/>
              </w:rPr>
              <w:t xml:space="preserve">Общая социализация</w:t>
            </w:r>
          </w:p>
        </w:tc>
        <w:tc>
          <w:tcPr>
            <w:vAlign w:val="center"/>
          </w:tcPr>
          <w:p>
            <w:pPr>
              <w:ind w:firstLine="0"/>
              <w:pStyle w:val="Compact"/>
              <w:jc w:val="center"/>
            </w:pPr>
            <w:r>
              <w:rPr>
                <w:sz w:val="24"/>
                <w:szCs w:val="24"/>
              </w:rPr>
              <w:t xml:space="preserve">Военно-патриотическое и государственное воспитание</w:t>
            </w:r>
          </w:p>
        </w:tc>
      </w:tr>
    </w:tbl>
    <w:p>
      <w:pPr>
        <w:pStyle w:val="BodyText"/>
      </w:pPr>
      <w:r>
        <w:t xml:space="preserve">Третьей специфической чертой является системная и непрерывная интеграция идеологической и информационно-воспитательной работы во все звенья образовательного процесса [6]. Идеология белорусского государства, богатые исторические традиции, героические подвиги белорусского народа, проявленные в годы Великой Отечественной войны, пронизывают как гуманитарные, так и военно-технические дисциплины. Воспитание на примерах мужества и верности Отечеству позволяет сформировать у будущих офицеров прочное национальное самосознание и чувство сопричастности к исторической судьбе своей страны. Особое место в этой системе занимает институт курсовых офицеров и командного состава факультетов. Непосредственный командир в военном вузе выступает не просто администратором, а ключевым наставником, который своим личным поведением, безупречным профессионализмом, верностью традициям и моральным обликом оказывает непосредственное влияние на ценностные ориентиры подчиненных.</w:t>
      </w:r>
    </w:p>
    <w:p>
      <w:pPr>
        <w:pStyle w:val="BodyText"/>
      </w:pPr>
      <w:r>
        <w:t xml:space="preserve">Наконец, специфика военного образования проявляется в гармоничном единстве фундаментальных академических знаний и всесторонней морально-психологической подготовки. Развитие стрессоустойчивости, волевых качеств, способности оперативно принимать взвешенные решения в экстремальных ситуациях и лидерского потенциала происходит в условиях реального преодоления трудностей военной службы. Это закладывает прочный ценностный фундамент личности, где патриотизм, высокая правовая культура, дисциплинированность и преданность своей стране выступают базовыми элементами мировоззрения гражданина, готового эффективно решать задачи обеспечения национальной безопасности Республики Беларусь.</w:t>
      </w:r>
    </w:p>
    <w:p>
      <w:r>
        <w:br w:type="page"/>
      </w:r>
    </w:p>
    <w:bookmarkEnd w:id="22"/>
    <w:bookmarkStart w:id="23" w:name="sec-4"/>
    <w:p>
      <w:pPr>
        <w:spacing w:line="360" w:lineRule="auto" w:after="40" w:afterAutospacing="0" w:beforeAutospacing="0"/>
        <w:pStyle w:val="Heading2"/>
      </w:pPr>
      <w:r>
        <w:t xml:space="preserve">3. Патриотическое воспитание в вузах Беларуси</w:t>
      </w:r>
    </w:p>
    <w:p>
      <w:pPr>
        <w:pStyle w:val="FirstParagraph"/>
      </w:pPr>
      <w:r>
        <w:t xml:space="preserve">Патриотическое воспитание в системе высшего образования Республики Беларусь [6] занимает центральное место в формировании гражданской идентичности молодежи. В современных условиях геополитических вызовов воспитание патриотизма становится важнейшим фактором обеспечения национальной безопасности страны. В вузах Беларуси этот процесс носит системный характер и основывается на государственной идеологии, уважении к историческому прошлому народа, его культуре и государственным символам.</w:t>
      </w:r>
    </w:p>
    <w:p>
      <w:pPr>
        <w:pStyle w:val="BodyText"/>
      </w:pPr>
      <w:r>
        <w:t xml:space="preserve">Особую роль в этой системе играют высшие военные учебные заведения и военные факультеты. Специфика военного образования накладывает уникальный отпечаток на методы патриотического воспитания. В отличие от гражданских университетов, где воспитательная работа зачастую носит факультативный характер, в военных вузах патриотизм интегрирован непосредственно в повседневную жизнедеятельность курсантов. Это выражается в соблюдении воинских ритуалов, ежедневном обращении к государственным символам, строгой дисциплине и изучении героических страниц отечественной военной истории.</w:t>
      </w:r>
    </w:p>
    <w:p>
      <w:pPr>
        <w:pStyle w:val="BodyText"/>
      </w:pPr>
      <w:r>
        <w:t xml:space="preserve">Для наглядного сопоставления особенностей патриотической работы можно выделить ключевые отличия в подходах гражданских и военных высших учебных заведений Беларуси.</w:t>
      </w:r>
    </w:p>
    <w:p>
      <w:pPr>
        <w:jc w:val="left"/>
        <w:ind w:firstLine="0"/>
        <w:spacing w:after="120"/>
      </w:pPr>
      <w:r>
        <w:rPr>
          <w:b/>
        </w:rPr>
        <w:t>Таблица 3 – Сравнение подходов к патриотическому воспитанию в вузах Беларуси</w:t>
      </w:r>
    </w:p>
    <w:tbl>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jc w:val="center"/>
        <w:tblLayout w:type="autofit"/>
        <w:tblStyle w:val="TableGrid"/>
        <w:tblW w:w="9354" w:type="dxa"/>
        <w:tblLook w:firstRow="1" w:lastRow="0" w:firstColumn="0" w:lastColumn="0" w:noHBand="0" w:noVBand="0" w:val="0020"/>
      </w:tblPr>
      <w:tblGrid>
        <w:gridCol w:w="2640"/>
        <w:gridCol w:w="2640"/>
        <w:gridCol w:w="2640"/>
      </w:tblGrid>
      <w:tr>
        <w:trPr>
          <w:tblHeader w:val="true"/>
        </w:trPr>
        <w:tc>
          <w:tcPr>
            <w:vAlign w:val="center"/>
          </w:tcPr>
          <w:p>
            <w:pPr>
              <w:ind w:firstLine="0"/>
              <w:pStyle w:val="Compact"/>
              <w:jc w:val="center"/>
            </w:pPr>
            <w:r>
              <w:rPr>
                <w:b/>
                <w:bCs/>
                <w:sz w:val="24"/>
                <w:szCs w:val="24"/>
              </w:rPr>
              <w:t xml:space="preserve">Направление работы</w:t>
            </w:r>
          </w:p>
        </w:tc>
        <w:tc>
          <w:tcPr>
            <w:vAlign w:val="center"/>
          </w:tcPr>
          <w:p>
            <w:pPr>
              <w:ind w:firstLine="0"/>
              <w:pStyle w:val="Compact"/>
              <w:jc w:val="center"/>
            </w:pPr>
            <w:r>
              <w:rPr>
                <w:b/>
                <w:bCs/>
                <w:sz w:val="24"/>
                <w:szCs w:val="24"/>
              </w:rPr>
              <w:t xml:space="preserve">Гражданские вузы</w:t>
            </w:r>
          </w:p>
        </w:tc>
        <w:tc>
          <w:tcPr>
            <w:vAlign w:val="center"/>
          </w:tcPr>
          <w:p>
            <w:pPr>
              <w:ind w:firstLine="0"/>
              <w:pStyle w:val="Compact"/>
              <w:jc w:val="center"/>
            </w:pPr>
            <w:r>
              <w:rPr>
                <w:b/>
                <w:bCs/>
                <w:sz w:val="24"/>
                <w:szCs w:val="24"/>
              </w:rPr>
              <w:t xml:space="preserve">Военные вузы (факультеты)</w:t>
            </w:r>
          </w:p>
        </w:tc>
      </w:tr>
      <w:tr>
        <w:tc>
          <w:tcPr>
            <w:vAlign w:val="center"/>
          </w:tcPr>
          <w:p>
            <w:pPr>
              <w:ind w:firstLine="0"/>
              <w:pStyle w:val="Compact"/>
              <w:jc w:val="center"/>
            </w:pPr>
            <w:r>
              <w:rPr>
                <w:sz w:val="24"/>
                <w:szCs w:val="24"/>
              </w:rPr>
              <w:t xml:space="preserve">Организационная основа</w:t>
            </w:r>
          </w:p>
        </w:tc>
        <w:tc>
          <w:tcPr>
            <w:vAlign w:val="center"/>
          </w:tcPr>
          <w:p>
            <w:pPr>
              <w:ind w:firstLine="0"/>
              <w:pStyle w:val="Compact"/>
              <w:jc w:val="center"/>
            </w:pPr>
            <w:r>
              <w:rPr>
                <w:sz w:val="24"/>
                <w:szCs w:val="24"/>
              </w:rPr>
              <w:t xml:space="preserve">Добровольное участие в клубах и мероприятиях</w:t>
            </w:r>
          </w:p>
        </w:tc>
        <w:tc>
          <w:tcPr>
            <w:vAlign w:val="center"/>
          </w:tcPr>
          <w:p>
            <w:pPr>
              <w:ind w:firstLine="0"/>
              <w:pStyle w:val="Compact"/>
              <w:jc w:val="center"/>
            </w:pPr>
            <w:r>
              <w:rPr>
                <w:sz w:val="24"/>
                <w:szCs w:val="24"/>
              </w:rPr>
              <w:t xml:space="preserve">Обязательная интеграция в учебный план и уклад</w:t>
            </w:r>
          </w:p>
        </w:tc>
      </w:tr>
      <w:tr>
        <w:tc>
          <w:tcPr>
            <w:vAlign w:val="center"/>
          </w:tcPr>
          <w:p>
            <w:pPr>
              <w:ind w:firstLine="0"/>
              <w:pStyle w:val="Compact"/>
              <w:jc w:val="center"/>
            </w:pPr>
            <w:r>
              <w:rPr>
                <w:sz w:val="24"/>
                <w:szCs w:val="24"/>
              </w:rPr>
              <w:t xml:space="preserve">Формы работы</w:t>
            </w:r>
          </w:p>
        </w:tc>
        <w:tc>
          <w:tcPr>
            <w:vAlign w:val="center"/>
          </w:tcPr>
          <w:p>
            <w:pPr>
              <w:ind w:firstLine="0"/>
              <w:pStyle w:val="Compact"/>
              <w:jc w:val="center"/>
            </w:pPr>
            <w:r>
              <w:rPr>
                <w:sz w:val="24"/>
                <w:szCs w:val="24"/>
              </w:rPr>
              <w:t xml:space="preserve">Конкурсы, волонтерство, круглые столы</w:t>
            </w:r>
          </w:p>
        </w:tc>
        <w:tc>
          <w:tcPr>
            <w:vAlign w:val="center"/>
          </w:tcPr>
          <w:p>
            <w:pPr>
              <w:ind w:firstLine="0"/>
              <w:pStyle w:val="Compact"/>
              <w:jc w:val="center"/>
            </w:pPr>
            <w:r>
              <w:rPr>
                <w:sz w:val="24"/>
                <w:szCs w:val="24"/>
              </w:rPr>
              <w:t xml:space="preserve">Несение службы, парады, реконструкции</w:t>
            </w:r>
          </w:p>
        </w:tc>
      </w:tr>
      <w:tr>
        <w:tc>
          <w:tcPr>
            <w:vAlign w:val="center"/>
          </w:tcPr>
          <w:p>
            <w:pPr>
              <w:ind w:firstLine="0"/>
              <w:pStyle w:val="Compact"/>
              <w:jc w:val="center"/>
            </w:pPr>
            <w:r>
              <w:rPr>
                <w:sz w:val="24"/>
                <w:szCs w:val="24"/>
              </w:rPr>
              <w:t xml:space="preserve">Опора на историю</w:t>
            </w:r>
          </w:p>
        </w:tc>
        <w:tc>
          <w:tcPr>
            <w:vAlign w:val="center"/>
          </w:tcPr>
          <w:p>
            <w:pPr>
              <w:ind w:firstLine="0"/>
              <w:pStyle w:val="Compact"/>
              <w:jc w:val="center"/>
            </w:pPr>
            <w:r>
              <w:rPr>
                <w:sz w:val="24"/>
                <w:szCs w:val="24"/>
              </w:rPr>
              <w:t xml:space="preserve">Общегуманитарный анализ исторических процессов</w:t>
            </w:r>
          </w:p>
        </w:tc>
        <w:tc>
          <w:tcPr>
            <w:vAlign w:val="center"/>
          </w:tcPr>
          <w:p>
            <w:pPr>
              <w:ind w:firstLine="0"/>
              <w:pStyle w:val="Compact"/>
              <w:jc w:val="center"/>
            </w:pPr>
            <w:r>
              <w:rPr>
                <w:sz w:val="24"/>
                <w:szCs w:val="24"/>
              </w:rPr>
              <w:t xml:space="preserve">Изучение тактики, операций и подвигов героев</w:t>
            </w:r>
          </w:p>
        </w:tc>
      </w:tr>
      <w:tr>
        <w:tc>
          <w:tcPr>
            <w:vAlign w:val="center"/>
          </w:tcPr>
          <w:p>
            <w:pPr>
              <w:ind w:firstLine="0"/>
              <w:pStyle w:val="Compact"/>
              <w:jc w:val="center"/>
            </w:pPr>
            <w:r>
              <w:rPr>
                <w:sz w:val="24"/>
                <w:szCs w:val="24"/>
              </w:rPr>
              <w:t xml:space="preserve">Волевой компонент</w:t>
            </w:r>
          </w:p>
        </w:tc>
        <w:tc>
          <w:tcPr>
            <w:vAlign w:val="center"/>
          </w:tcPr>
          <w:p>
            <w:pPr>
              <w:ind w:firstLine="0"/>
              <w:pStyle w:val="Compact"/>
              <w:jc w:val="center"/>
            </w:pPr>
            <w:r>
              <w:rPr>
                <w:sz w:val="24"/>
                <w:szCs w:val="24"/>
              </w:rPr>
              <w:t xml:space="preserve">Формирование лидерских качеств и гибких навыков</w:t>
            </w:r>
          </w:p>
        </w:tc>
        <w:tc>
          <w:tcPr>
            <w:vAlign w:val="center"/>
          </w:tcPr>
          <w:p>
            <w:pPr>
              <w:ind w:firstLine="0"/>
              <w:pStyle w:val="Compact"/>
              <w:jc w:val="center"/>
            </w:pPr>
            <w:r>
              <w:rPr>
                <w:sz w:val="24"/>
                <w:szCs w:val="24"/>
              </w:rPr>
              <w:t xml:space="preserve">Воспитание стойкости, готовности к защите Родины</w:t>
            </w:r>
          </w:p>
        </w:tc>
      </w:tr>
    </w:tbl>
    <w:p>
      <w:pPr>
        <w:pStyle w:val="BodyText"/>
      </w:pPr>
      <w:r>
        <w:t xml:space="preserve">Важнейшей составляющей воспитания выступает сохранение исторической памяти, особенно о подвиге советского народа в Великой Отечественной войне [4]. Для Республики Беларусь, потерявшей в годы войны каждого третьего жителя, эта тема имеет сакральное значение. В военных учебных заведениях изучение Великой Отечественной войны выходит за рамки лекционного курса. Курсанты активно участвуют в поисковых работах, благоустройстве воинских захоронений, шефстве над ветеранами и в реконструкции сражений. Это позволяет будущим офицерам пропустить через себя уроки мужества предков, формируя глубокую личностную связь со своей страной.</w:t>
      </w:r>
    </w:p>
    <w:p>
      <w:pPr>
        <w:pStyle w:val="BodyText"/>
      </w:pPr>
      <w:r>
        <w:t xml:space="preserve">Важным элементом является государственно-патриотическое воспитание, направленное на формирование правовой культуры и понимание конституционного долга по защите Отечества. В вузах функционируют информационно-пропагандистские группы, проводятся единые дни информирования, где обсуждаются вопросы внутренней и внешней политики Беларуси. Это помогает будущим специалистам выработать критическое мышление и стойкость к внешнему деструктивному информационному воздействию.</w:t>
      </w:r>
    </w:p>
    <w:p>
      <w:pPr>
        <w:pStyle w:val="BodyText"/>
      </w:pPr>
      <w:r>
        <w:t xml:space="preserve">Вместе с тем, потенциал военных традиций еще не в полной мере интегрирован в общую систему гражданского воспитания гражданской молодежи. Преодоление этого разрыва через активизацию взаимодействия между военными и гражданскими вузами (совместные спортивно-патриотические игры, форумы и открытые лекции) способно существенно усилить общую патриотическую парадигму в стране.</w:t>
      </w:r>
    </w:p>
    <w:p>
      <w:pPr>
        <w:pStyle w:val="BodyText"/>
      </w:pPr>
      <w:r>
        <w:t xml:space="preserve">Таким образом, патриотическое воспитание в вузах Беларуси представляет собой многоаспектный процесс [10], сочетающий уважение к истории, верность государственной идеологии и готовность к служению обществу. Военные вузы выступают флагманами этого процесса, демонстрируя пример того, как долг и историческая память преобразуются в прочную основу гражданственности.</w:t>
      </w:r>
    </w:p>
    <w:p>
      <w:r>
        <w:br w:type="page"/>
      </w:r>
    </w:p>
    <w:bookmarkEnd w:id="23"/>
    <w:bookmarkStart w:id="24" w:name="sec-5"/>
    <w:p>
      <w:pPr>
        <w:spacing w:line="360" w:lineRule="auto" w:after="40" w:afterAutospacing="0" w:beforeAutospacing="0"/>
        <w:pStyle w:val="Heading2"/>
      </w:pPr>
      <w:r>
        <w:t xml:space="preserve">4. Анализ действующих образовательных стандартов</w:t>
      </w:r>
    </w:p>
    <w:p>
      <w:pPr>
        <w:pStyle w:val="FirstParagraph"/>
      </w:pPr>
      <w:r>
        <w:t xml:space="preserve">Анализ действующих образовательных стандартов высшего образования (ОСВО) Республики Беларусь по военным специальностям [6] позволяет выявить системные основы, на которых базируется процесс формирования гражданина-патриота в военных вузах. В современных условиях образовательные стандарты военного профиля ориентированы не только на подготовку высококлассного технического и командного специалиста, но и на всестороннее развитие социально-активной личности, обладающей государственным мышлением и высоким уровнем патриотического самосознания. Структурно этот процесс заложен в требованиях к подготовке военных специалистов на всех ступенях высшего образования.</w:t>
      </w:r>
    </w:p>
    <w:p>
      <w:pPr>
        <w:pStyle w:val="BodyText"/>
      </w:pPr>
      <w:r>
        <w:t xml:space="preserve">Основу формирования гражданских качеств курсантов составляет цикл социально-гуманитарных дисциплин [15]. В соответствии с государственными стандартами, этот цикл обязателен для всех специальностей и направлен на выработку единого ценностно-смыслового фундамента. Особое место здесь занимают такие дисциплины, как «История белорусской государственности», «Идеология белорусского государства» и «Философия». Изучение данных предметов способствует осмыслению исторического пути белорусского народа, осознанию суверенитета страны как высшей ценности и формированию уважения к государственным символам и Конституции Республики Беларусь. Стандарты регламентируют требования к социально-личностным компетенциям, среди которых ключевыми являются готовность к защите национальных интересов, социальная ответственность и приверженность принципам гуманизма.</w:t>
      </w:r>
    </w:p>
    <w:p>
      <w:pPr>
        <w:pStyle w:val="BodyText"/>
      </w:pPr>
      <w:r>
        <w:t xml:space="preserve">Для наглядности структура и направленность компонентов образовательных стандартов в области гражданского воспитания представлены в таблице:</w:t>
      </w:r>
    </w:p>
    <w:p>
      <w:pPr>
        <w:jc w:val="left"/>
        <w:ind w:firstLine="0"/>
        <w:spacing w:after="120"/>
      </w:pPr>
      <w:r>
        <w:rPr>
          <w:b/>
        </w:rPr>
        <w:t>Таблица 4 – Структура и направленность компонентов образовательных стандартов в области гражданского воспитания</w:t>
      </w:r>
    </w:p>
    <w:tbl>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jc w:val="center"/>
        <w:tblLayout w:type="autofit"/>
        <w:tblStyle w:val="TableGrid"/>
        <w:tblW w:w="9354" w:type="dxa"/>
        <w:tblLook w:firstRow="1" w:lastRow="0" w:firstColumn="0" w:lastColumn="0" w:noHBand="0" w:noVBand="0" w:val="0020"/>
      </w:tblPr>
      <w:tblGrid>
        <w:gridCol w:w="1980"/>
        <w:gridCol w:w="1980"/>
        <w:gridCol w:w="1980"/>
        <w:gridCol w:w="1980"/>
      </w:tblGrid>
      <w:tr>
        <w:trPr>
          <w:tblHeader w:val="true"/>
        </w:trPr>
        <w:tc>
          <w:tcPr>
            <w:vAlign w:val="center"/>
          </w:tcPr>
          <w:p>
            <w:pPr>
              <w:ind w:firstLine="0"/>
              <w:pStyle w:val="Compact"/>
              <w:jc w:val="center"/>
            </w:pPr>
            <w:r>
              <w:rPr>
                <w:b/>
                <w:bCs/>
                <w:sz w:val="24"/>
                <w:szCs w:val="24"/>
              </w:rPr>
              <w:t xml:space="preserve">Блок дисциплин в ОСВО</w:t>
            </w:r>
          </w:p>
        </w:tc>
        <w:tc>
          <w:tcPr>
            <w:vAlign w:val="center"/>
          </w:tcPr>
          <w:p>
            <w:pPr>
              <w:ind w:firstLine="0"/>
              <w:pStyle w:val="Compact"/>
              <w:jc w:val="center"/>
            </w:pPr>
            <w:r>
              <w:rPr>
                <w:b/>
                <w:bCs/>
                <w:sz w:val="24"/>
                <w:szCs w:val="24"/>
              </w:rPr>
              <w:t xml:space="preserve">Ключевые учебные курсы</w:t>
            </w:r>
          </w:p>
        </w:tc>
        <w:tc>
          <w:tcPr>
            <w:vAlign w:val="center"/>
          </w:tcPr>
          <w:p>
            <w:pPr>
              <w:ind w:firstLine="0"/>
              <w:pStyle w:val="Compact"/>
              <w:jc w:val="center"/>
            </w:pPr>
            <w:r>
              <w:rPr>
                <w:b/>
                <w:bCs/>
                <w:sz w:val="24"/>
                <w:szCs w:val="24"/>
              </w:rPr>
              <w:t xml:space="preserve">Направленность гражданского воспитания</w:t>
            </w:r>
          </w:p>
        </w:tc>
        <w:tc>
          <w:tcPr>
            <w:vAlign w:val="center"/>
          </w:tcPr>
          <w:p>
            <w:pPr>
              <w:ind w:firstLine="0"/>
              <w:pStyle w:val="Compact"/>
              <w:jc w:val="center"/>
            </w:pPr>
            <w:r>
              <w:rPr>
                <w:b/>
                <w:bCs/>
                <w:sz w:val="24"/>
                <w:szCs w:val="24"/>
              </w:rPr>
              <w:t xml:space="preserve">Формируемые социально-личностные компетенции</w:t>
            </w:r>
          </w:p>
        </w:tc>
      </w:tr>
      <w:tr>
        <w:tc>
          <w:tcPr>
            <w:vAlign w:val="center"/>
          </w:tcPr>
          <w:p>
            <w:pPr>
              <w:ind w:firstLine="0"/>
              <w:pStyle w:val="Compact"/>
              <w:jc w:val="center"/>
            </w:pPr>
            <w:r>
              <w:rPr>
                <w:sz w:val="24"/>
                <w:szCs w:val="24"/>
              </w:rPr>
              <w:t xml:space="preserve">Социально-гуманитарный цикл</w:t>
            </w:r>
          </w:p>
        </w:tc>
        <w:tc>
          <w:tcPr>
            <w:vAlign w:val="center"/>
          </w:tcPr>
          <w:p>
            <w:pPr>
              <w:ind w:firstLine="0"/>
              <w:pStyle w:val="Compact"/>
              <w:jc w:val="center"/>
            </w:pPr>
            <w:r>
              <w:rPr>
                <w:sz w:val="24"/>
                <w:szCs w:val="24"/>
              </w:rPr>
              <w:t xml:space="preserve">История белорусской государственности, Идеология белорусского государства, Философия</w:t>
            </w:r>
          </w:p>
        </w:tc>
        <w:tc>
          <w:tcPr>
            <w:vAlign w:val="center"/>
          </w:tcPr>
          <w:p>
            <w:pPr>
              <w:ind w:firstLine="0"/>
              <w:pStyle w:val="Compact"/>
              <w:jc w:val="center"/>
            </w:pPr>
            <w:r>
              <w:rPr>
                <w:sz w:val="24"/>
                <w:szCs w:val="24"/>
              </w:rPr>
              <w:t xml:space="preserve">Формирование научного мировоззрения, ценностно-смысловых ориентиров, уважения к закону и исторической памяти народа.</w:t>
            </w:r>
          </w:p>
        </w:tc>
        <w:tc>
          <w:tcPr>
            <w:vAlign w:val="center"/>
          </w:tcPr>
          <w:p>
            <w:pPr>
              <w:ind w:firstLine="0"/>
              <w:pStyle w:val="Compact"/>
              <w:jc w:val="center"/>
            </w:pPr>
            <w:r>
              <w:rPr>
                <w:sz w:val="24"/>
                <w:szCs w:val="24"/>
              </w:rPr>
              <w:t xml:space="preserve">Способность анализировать социально значимые проблемы, руководствоваться принципами патриотизма и гражданственности.</w:t>
            </w:r>
          </w:p>
        </w:tc>
      </w:tr>
      <w:tr>
        <w:tc>
          <w:tcPr>
            <w:vAlign w:val="center"/>
          </w:tcPr>
          <w:p>
            <w:pPr>
              <w:ind w:firstLine="0"/>
              <w:pStyle w:val="Compact"/>
              <w:jc w:val="center"/>
            </w:pPr>
            <w:r>
              <w:rPr>
                <w:sz w:val="24"/>
                <w:szCs w:val="24"/>
              </w:rPr>
              <w:t xml:space="preserve">Военно-профессиональный цикл</w:t>
            </w:r>
          </w:p>
        </w:tc>
        <w:tc>
          <w:tcPr>
            <w:vAlign w:val="center"/>
          </w:tcPr>
          <w:p>
            <w:pPr>
              <w:ind w:firstLine="0"/>
              <w:pStyle w:val="Compact"/>
              <w:jc w:val="center"/>
            </w:pPr>
            <w:r>
              <w:rPr>
                <w:sz w:val="24"/>
                <w:szCs w:val="24"/>
              </w:rPr>
              <w:t xml:space="preserve">Тактика, Военная история, Общевоинские уставы, Управление подразделениями</w:t>
            </w:r>
          </w:p>
        </w:tc>
        <w:tc>
          <w:tcPr>
            <w:vAlign w:val="center"/>
          </w:tcPr>
          <w:p>
            <w:pPr>
              <w:ind w:firstLine="0"/>
              <w:pStyle w:val="Compact"/>
              <w:jc w:val="center"/>
            </w:pPr>
            <w:r>
              <w:rPr>
                <w:sz w:val="24"/>
                <w:szCs w:val="24"/>
              </w:rPr>
              <w:t xml:space="preserve">Воспитание верности Военной присяге, воинского долга, чувства войскового товарищества, ответственности за безопасность Родины.</w:t>
            </w:r>
          </w:p>
        </w:tc>
        <w:tc>
          <w:tcPr>
            <w:vAlign w:val="center"/>
          </w:tcPr>
          <w:p>
            <w:pPr>
              <w:ind w:firstLine="0"/>
              <w:pStyle w:val="Compact"/>
              <w:jc w:val="center"/>
            </w:pPr>
            <w:r>
              <w:rPr>
                <w:sz w:val="24"/>
                <w:szCs w:val="24"/>
              </w:rPr>
              <w:t xml:space="preserve">Готовность к безусловному выполнению боевых задач, лидерские качества, дисциплинированность и организованность.</w:t>
            </w:r>
          </w:p>
        </w:tc>
      </w:tr>
      <w:tr>
        <w:tc>
          <w:tcPr>
            <w:vAlign w:val="center"/>
          </w:tcPr>
          <w:p>
            <w:pPr>
              <w:ind w:firstLine="0"/>
              <w:pStyle w:val="Compact"/>
              <w:jc w:val="center"/>
            </w:pPr>
            <w:r>
              <w:rPr>
                <w:sz w:val="24"/>
                <w:szCs w:val="24"/>
              </w:rPr>
              <w:t xml:space="preserve">Практический блок и практики</w:t>
            </w:r>
          </w:p>
        </w:tc>
        <w:tc>
          <w:tcPr>
            <w:vAlign w:val="center"/>
          </w:tcPr>
          <w:p>
            <w:pPr>
              <w:ind w:firstLine="0"/>
              <w:pStyle w:val="Compact"/>
              <w:jc w:val="center"/>
            </w:pPr>
            <w:r>
              <w:rPr>
                <w:sz w:val="24"/>
                <w:szCs w:val="24"/>
              </w:rPr>
              <w:t xml:space="preserve">Идеологическая работа, Войсковая стажировка, Командно-штабные учения</w:t>
            </w:r>
          </w:p>
        </w:tc>
        <w:tc>
          <w:tcPr>
            <w:vAlign w:val="center"/>
          </w:tcPr>
          <w:p>
            <w:pPr>
              <w:ind w:firstLine="0"/>
              <w:pStyle w:val="Compact"/>
              <w:jc w:val="center"/>
            </w:pPr>
            <w:r>
              <w:rPr>
                <w:sz w:val="24"/>
                <w:szCs w:val="24"/>
              </w:rPr>
              <w:t xml:space="preserve">Применение теоретических знаний идеологической работы на практике, развитие навыков воспитания подчиненного личного состава.</w:t>
            </w:r>
          </w:p>
        </w:tc>
        <w:tc>
          <w:tcPr>
            <w:vAlign w:val="center"/>
          </w:tcPr>
          <w:p>
            <w:pPr>
              <w:ind w:firstLine="0"/>
              <w:pStyle w:val="Compact"/>
              <w:jc w:val="center"/>
            </w:pPr>
            <w:r>
              <w:rPr>
                <w:sz w:val="24"/>
                <w:szCs w:val="24"/>
              </w:rPr>
              <w:t xml:space="preserve">Способность проводить информационно-воспитательную работу, поддерживать высокий морально-психологический дух.</w:t>
            </w:r>
          </w:p>
        </w:tc>
      </w:tr>
    </w:tbl>
    <w:p>
      <w:pPr>
        <w:pStyle w:val="BodyText"/>
      </w:pPr>
      <w:r>
        <w:t xml:space="preserve">Помимо теоретического компонента, действующие стандарты уделяют значительное внимание практической подготовке будущих офицеров к ведению воспитательной и идеологической работы [8]. Согласно стандартам, выпускник военного вуза должен обладать не просто знанием основ идеологии государства, но и практическими инструментами ее трансляции в подчиненные воинские коллективы. Это находит отражение в требованиях к дисциплинам профессионального цикла, где курсанты изучают методы противодействия деструктивному информационному воздействию, основы психологии военного коллектива и специфику организации культурно-досуговой деятельности.</w:t>
      </w:r>
    </w:p>
    <w:p>
      <w:pPr>
        <w:pStyle w:val="BodyText"/>
      </w:pPr>
      <w:r>
        <w:t xml:space="preserve">Однако анализ показывает, что существующие стандарты сохраняют определенную жесткость и некоторую автономию социально-гуманитарного блока от прикладных военных дисциплин. Интеграция военных традиций и исторического наследия в повседневный образовательный процесс зачастую носит формализованный характер, ограничиваясь рамками отдельных тем или мемориальных мероприятий. Стандартам нового поколения требуется более гибкий подход к интеграции гражданско-патриотического компонента непосредственно в процесс тактической, технической и специальной подготовки [18]. Это позволит преодолеть разрыв между теоретическим пониманием гражданского долга и его практической реализацией в условиях повседневной жизнедеятельности войск, превращая патриотизм из декларативного принципа в осознанную профессиональную потребность будущего офицера.</w:t>
      </w:r>
    </w:p>
    <w:p>
      <w:r>
        <w:br w:type="page"/>
      </w:r>
    </w:p>
    <w:bookmarkEnd w:id="24"/>
    <w:bookmarkStart w:id="25" w:name="sec-6"/>
    <w:p>
      <w:pPr>
        <w:spacing w:line="360" w:lineRule="auto" w:after="40" w:afterAutospacing="0" w:beforeAutospacing="0"/>
        <w:pStyle w:val="Heading2"/>
      </w:pPr>
      <w:r>
        <w:t xml:space="preserve">5. Социологическое исследование среди курсантов</w:t>
      </w:r>
    </w:p>
    <w:p>
      <w:pPr>
        <w:pStyle w:val="FirstParagraph"/>
      </w:pPr>
      <w:r>
        <w:t xml:space="preserve">Для выявления реального состояния гражданской идентичности, уровня патриотизма и отношения к воинскому долгу среди будущих офицеров было проведено комплексное социологическое исследование [6]. В качестве основного метода сбора эмпирической информации использовалось анонимное анкетирование. В опросе приняли участие 250 курсантов Военной академии Республики Беларусь и военных факультетов гражданских вузов страны, обучающихся на первом, втором и четвертом курсах. Такое распределение респондентов позволило не только зафиксировать текущий срез ценностных ориентаций, но и проследить динамику их трансформации в процессе освоения программ высшего военного образования.</w:t>
      </w:r>
    </w:p>
    <w:p>
      <w:pPr>
        <w:pStyle w:val="BodyText"/>
      </w:pPr>
      <w:r>
        <w:t xml:space="preserve">Результаты исследования демонстрируют традиционно высокий уровень выраженности государственно-патриотического сознания у будущих офицеров Вооруженных Сил. Отвечая на вопрос о том, что лично для них означает понятие «быть гражданином Республики Беларусь», подавляющее большинство участников опроса выбрали варианты, непосредственно связанные с активным служением обществу и защитой государства. Так, около 82% опрошенных курсантов ассоциируют гражданственность со священным долгом защиты независимости и территориальной целостности своей родины. Характерно, что от первого к выпускному курсу доля таких ответов возрастает на 14%, что наглядно подтверждает системное и целенаправленное воспитательное воздействие образовательной среды военного вуза.</w:t>
      </w:r>
    </w:p>
    <w:p>
      <w:pPr>
        <w:pStyle w:val="BodyText"/>
      </w:pPr>
      <w:r>
        <w:t xml:space="preserve">В рамках анкетирования отдельно исследовалось отношение будущих офицеров к ключевым факторам, оказывающим наибольшее влияние на формирование их патриотической позиции, гражданской ответственности и ценностных ориентиров. Результаты оценки влияния различных элементов образовательного и воспитательного процесса представлены в таблице.</w:t>
      </w:r>
    </w:p>
    <w:p>
      <w:pPr>
        <w:jc w:val="left"/>
        <w:ind w:firstLine="0"/>
        <w:spacing w:after="120"/>
      </w:pPr>
      <w:r>
        <w:rPr>
          <w:b/>
        </w:rPr>
        <w:t>Таблица 5 – Факторы влияния на формирование гражданственности курсантов</w:t>
      </w:r>
    </w:p>
    <w:tbl>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jc w:val="center"/>
        <w:tblLayout w:type="autofit"/>
        <w:tblStyle w:val="TableGrid"/>
        <w:tblW w:w="9354" w:type="dxa"/>
        <w:tblLook w:firstRow="1" w:lastRow="0" w:firstColumn="0" w:lastColumn="0" w:noHBand="0" w:noVBand="0" w:val="0020"/>
      </w:tblPr>
      <w:tblGrid>
        <w:gridCol w:w="1667"/>
        <w:gridCol w:w="2084"/>
        <w:gridCol w:w="2084"/>
        <w:gridCol w:w="2084"/>
      </w:tblGrid>
      <w:tr>
        <w:trPr>
          <w:tblHeader w:val="true"/>
        </w:trPr>
        <w:tc>
          <w:tcPr>
            <w:vAlign w:val="center"/>
          </w:tcPr>
          <w:p>
            <w:pPr>
              <w:ind w:firstLine="0"/>
              <w:pStyle w:val="Compact"/>
              <w:jc w:val="center"/>
            </w:pPr>
            <w:r>
              <w:rPr>
                <w:b/>
                <w:bCs/>
                <w:sz w:val="24"/>
                <w:szCs w:val="24"/>
              </w:rPr>
              <w:t xml:space="preserve">Фактор влияния на гражданственность</w:t>
            </w:r>
          </w:p>
        </w:tc>
        <w:tc>
          <w:tcPr>
            <w:vAlign w:val="center"/>
          </w:tcPr>
          <w:p>
            <w:pPr>
              <w:ind w:firstLine="0"/>
              <w:pStyle w:val="Compact"/>
              <w:jc w:val="center"/>
            </w:pPr>
            <w:r>
              <w:rPr>
                <w:b/>
                <w:bCs/>
                <w:sz w:val="24"/>
                <w:szCs w:val="24"/>
              </w:rPr>
              <w:t xml:space="preserve">Высокое влияние (%)</w:t>
            </w:r>
          </w:p>
        </w:tc>
        <w:tc>
          <w:tcPr>
            <w:vAlign w:val="center"/>
          </w:tcPr>
          <w:p>
            <w:pPr>
              <w:ind w:firstLine="0"/>
              <w:pStyle w:val="Compact"/>
              <w:jc w:val="center"/>
            </w:pPr>
            <w:r>
              <w:rPr>
                <w:b/>
                <w:bCs/>
                <w:sz w:val="24"/>
                <w:szCs w:val="24"/>
              </w:rPr>
              <w:t xml:space="preserve">Среднее влияние (%)</w:t>
            </w:r>
          </w:p>
        </w:tc>
        <w:tc>
          <w:tcPr>
            <w:vAlign w:val="center"/>
          </w:tcPr>
          <w:p>
            <w:pPr>
              <w:ind w:firstLine="0"/>
              <w:pStyle w:val="Compact"/>
              <w:jc w:val="center"/>
            </w:pPr>
            <w:r>
              <w:rPr>
                <w:b/>
                <w:bCs/>
                <w:sz w:val="24"/>
                <w:szCs w:val="24"/>
              </w:rPr>
              <w:t xml:space="preserve">Слабое влияние (%)</w:t>
            </w:r>
          </w:p>
        </w:tc>
      </w:tr>
      <w:tr>
        <w:tc>
          <w:tcPr>
            <w:vAlign w:val="center"/>
          </w:tcPr>
          <w:p>
            <w:pPr>
              <w:ind w:firstLine="0"/>
              <w:pStyle w:val="Compact"/>
              <w:jc w:val="center"/>
            </w:pPr>
            <w:r>
              <w:rPr>
                <w:sz w:val="24"/>
                <w:szCs w:val="24"/>
              </w:rPr>
              <w:t xml:space="preserve">Пример командиров и профессорского состава</w:t>
            </w:r>
          </w:p>
        </w:tc>
        <w:tc>
          <w:tcPr>
            <w:vAlign w:val="center"/>
          </w:tcPr>
          <w:p>
            <w:pPr>
              <w:ind w:firstLine="0"/>
              <w:pStyle w:val="Compact"/>
              <w:jc w:val="center"/>
            </w:pPr>
            <w:r>
              <w:rPr>
                <w:sz w:val="24"/>
                <w:szCs w:val="24"/>
              </w:rPr>
              <w:t xml:space="preserve">74</w:t>
            </w:r>
          </w:p>
        </w:tc>
        <w:tc>
          <w:tcPr>
            <w:vAlign w:val="center"/>
          </w:tcPr>
          <w:p>
            <w:pPr>
              <w:ind w:firstLine="0"/>
              <w:pStyle w:val="Compact"/>
              <w:jc w:val="center"/>
            </w:pPr>
            <w:r>
              <w:rPr>
                <w:sz w:val="24"/>
                <w:szCs w:val="24"/>
              </w:rPr>
              <w:t xml:space="preserve">18</w:t>
            </w:r>
          </w:p>
        </w:tc>
        <w:tc>
          <w:tcPr>
            <w:vAlign w:val="center"/>
          </w:tcPr>
          <w:p>
            <w:pPr>
              <w:ind w:firstLine="0"/>
              <w:pStyle w:val="Compact"/>
              <w:jc w:val="center"/>
            </w:pPr>
            <w:r>
              <w:rPr>
                <w:sz w:val="24"/>
                <w:szCs w:val="24"/>
              </w:rPr>
              <w:t xml:space="preserve">8</w:t>
            </w:r>
          </w:p>
        </w:tc>
      </w:tr>
      <w:tr>
        <w:tc>
          <w:tcPr>
            <w:vAlign w:val="center"/>
          </w:tcPr>
          <w:p>
            <w:pPr>
              <w:ind w:firstLine="0"/>
              <w:pStyle w:val="Compact"/>
              <w:jc w:val="center"/>
            </w:pPr>
            <w:r>
              <w:rPr>
                <w:sz w:val="24"/>
                <w:szCs w:val="24"/>
              </w:rPr>
              <w:t xml:space="preserve">Военно-исторические и мемориальные акции</w:t>
            </w:r>
          </w:p>
        </w:tc>
        <w:tc>
          <w:tcPr>
            <w:vAlign w:val="center"/>
          </w:tcPr>
          <w:p>
            <w:pPr>
              <w:ind w:firstLine="0"/>
              <w:pStyle w:val="Compact"/>
              <w:jc w:val="center"/>
            </w:pPr>
            <w:r>
              <w:rPr>
                <w:sz w:val="24"/>
                <w:szCs w:val="24"/>
              </w:rPr>
              <w:t xml:space="preserve">71</w:t>
            </w:r>
          </w:p>
        </w:tc>
        <w:tc>
          <w:tcPr>
            <w:vAlign w:val="center"/>
          </w:tcPr>
          <w:p>
            <w:pPr>
              <w:ind w:firstLine="0"/>
              <w:pStyle w:val="Compact"/>
              <w:jc w:val="center"/>
            </w:pPr>
            <w:r>
              <w:rPr>
                <w:sz w:val="24"/>
                <w:szCs w:val="24"/>
              </w:rPr>
              <w:t xml:space="preserve">21</w:t>
            </w:r>
          </w:p>
        </w:tc>
        <w:tc>
          <w:tcPr>
            <w:vAlign w:val="center"/>
          </w:tcPr>
          <w:p>
            <w:pPr>
              <w:ind w:firstLine="0"/>
              <w:pStyle w:val="Compact"/>
              <w:jc w:val="center"/>
            </w:pPr>
            <w:r>
              <w:rPr>
                <w:sz w:val="24"/>
                <w:szCs w:val="24"/>
              </w:rPr>
              <w:t xml:space="preserve">8</w:t>
            </w:r>
          </w:p>
        </w:tc>
      </w:tr>
      <w:tr>
        <w:tc>
          <w:tcPr>
            <w:vAlign w:val="center"/>
          </w:tcPr>
          <w:p>
            <w:pPr>
              <w:ind w:firstLine="0"/>
              <w:pStyle w:val="Compact"/>
              <w:jc w:val="center"/>
            </w:pPr>
            <w:r>
              <w:rPr>
                <w:sz w:val="24"/>
                <w:szCs w:val="24"/>
              </w:rPr>
              <w:t xml:space="preserve">Изучение социально-гуманитарных дисциплин</w:t>
            </w:r>
          </w:p>
        </w:tc>
        <w:tc>
          <w:tcPr>
            <w:vAlign w:val="center"/>
          </w:tcPr>
          <w:p>
            <w:pPr>
              <w:ind w:firstLine="0"/>
              <w:pStyle w:val="Compact"/>
              <w:jc w:val="center"/>
            </w:pPr>
            <w:r>
              <w:rPr>
                <w:sz w:val="24"/>
                <w:szCs w:val="24"/>
              </w:rPr>
              <w:t xml:space="preserve">58</w:t>
            </w:r>
          </w:p>
        </w:tc>
        <w:tc>
          <w:tcPr>
            <w:vAlign w:val="center"/>
          </w:tcPr>
          <w:p>
            <w:pPr>
              <w:ind w:firstLine="0"/>
              <w:pStyle w:val="Compact"/>
              <w:jc w:val="center"/>
            </w:pPr>
            <w:r>
              <w:rPr>
                <w:sz w:val="24"/>
                <w:szCs w:val="24"/>
              </w:rPr>
              <w:t xml:space="preserve">32</w:t>
            </w:r>
          </w:p>
        </w:tc>
        <w:tc>
          <w:tcPr>
            <w:vAlign w:val="center"/>
          </w:tcPr>
          <w:p>
            <w:pPr>
              <w:ind w:firstLine="0"/>
              <w:pStyle w:val="Compact"/>
              <w:jc w:val="center"/>
            </w:pPr>
            <w:r>
              <w:rPr>
                <w:sz w:val="24"/>
                <w:szCs w:val="24"/>
              </w:rPr>
              <w:t xml:space="preserve">10</w:t>
            </w:r>
          </w:p>
        </w:tc>
      </w:tr>
      <w:tr>
        <w:tc>
          <w:tcPr>
            <w:vAlign w:val="center"/>
          </w:tcPr>
          <w:p>
            <w:pPr>
              <w:ind w:firstLine="0"/>
              <w:pStyle w:val="Compact"/>
              <w:jc w:val="center"/>
            </w:pPr>
            <w:r>
              <w:rPr>
                <w:sz w:val="24"/>
                <w:szCs w:val="24"/>
              </w:rPr>
              <w:t xml:space="preserve">Встречи с ветеранами и участниками локальных войн</w:t>
            </w:r>
          </w:p>
        </w:tc>
        <w:tc>
          <w:tcPr>
            <w:vAlign w:val="center"/>
          </w:tcPr>
          <w:p>
            <w:pPr>
              <w:ind w:firstLine="0"/>
              <w:pStyle w:val="Compact"/>
              <w:jc w:val="center"/>
            </w:pPr>
            <w:r>
              <w:rPr>
                <w:sz w:val="24"/>
                <w:szCs w:val="24"/>
              </w:rPr>
              <w:t xml:space="preserve">48</w:t>
            </w:r>
          </w:p>
        </w:tc>
        <w:tc>
          <w:tcPr>
            <w:vAlign w:val="center"/>
          </w:tcPr>
          <w:p>
            <w:pPr>
              <w:ind w:firstLine="0"/>
              <w:pStyle w:val="Compact"/>
              <w:jc w:val="center"/>
            </w:pPr>
            <w:r>
              <w:rPr>
                <w:sz w:val="24"/>
                <w:szCs w:val="24"/>
              </w:rPr>
              <w:t xml:space="preserve">38</w:t>
            </w:r>
          </w:p>
        </w:tc>
        <w:tc>
          <w:tcPr>
            <w:vAlign w:val="center"/>
          </w:tcPr>
          <w:p>
            <w:pPr>
              <w:ind w:firstLine="0"/>
              <w:pStyle w:val="Compact"/>
              <w:jc w:val="center"/>
            </w:pPr>
            <w:r>
              <w:rPr>
                <w:sz w:val="24"/>
                <w:szCs w:val="24"/>
              </w:rPr>
              <w:t xml:space="preserve">14</w:t>
            </w:r>
          </w:p>
        </w:tc>
      </w:tr>
      <w:tr>
        <w:tc>
          <w:tcPr>
            <w:vAlign w:val="center"/>
          </w:tcPr>
          <w:p>
            <w:pPr>
              <w:ind w:firstLine="0"/>
              <w:pStyle w:val="Compact"/>
              <w:jc w:val="center"/>
            </w:pPr>
            <w:r>
              <w:rPr>
                <w:sz w:val="24"/>
                <w:szCs w:val="24"/>
              </w:rPr>
              <w:t xml:space="preserve">Информационно-воспитательная работа и лектории</w:t>
            </w:r>
          </w:p>
        </w:tc>
        <w:tc>
          <w:tcPr>
            <w:vAlign w:val="center"/>
          </w:tcPr>
          <w:p>
            <w:pPr>
              <w:ind w:firstLine="0"/>
              <w:pStyle w:val="Compact"/>
              <w:jc w:val="center"/>
            </w:pPr>
            <w:r>
              <w:rPr>
                <w:sz w:val="24"/>
                <w:szCs w:val="24"/>
              </w:rPr>
              <w:t xml:space="preserve">34</w:t>
            </w:r>
          </w:p>
        </w:tc>
        <w:tc>
          <w:tcPr>
            <w:vAlign w:val="center"/>
          </w:tcPr>
          <w:p>
            <w:pPr>
              <w:ind w:firstLine="0"/>
              <w:pStyle w:val="Compact"/>
              <w:jc w:val="center"/>
            </w:pPr>
            <w:r>
              <w:rPr>
                <w:sz w:val="24"/>
                <w:szCs w:val="24"/>
              </w:rPr>
              <w:t xml:space="preserve">46</w:t>
            </w:r>
          </w:p>
        </w:tc>
        <w:tc>
          <w:tcPr>
            <w:vAlign w:val="center"/>
          </w:tcPr>
          <w:p>
            <w:pPr>
              <w:ind w:firstLine="0"/>
              <w:pStyle w:val="Compact"/>
              <w:jc w:val="center"/>
            </w:pPr>
            <w:r>
              <w:rPr>
                <w:sz w:val="24"/>
                <w:szCs w:val="24"/>
              </w:rPr>
              <w:t xml:space="preserve">20</w:t>
            </w:r>
          </w:p>
        </w:tc>
      </w:tr>
    </w:tbl>
    <w:p>
      <w:pPr>
        <w:pStyle w:val="BodyText"/>
      </w:pPr>
      <w:r>
        <w:t xml:space="preserve">Как показывают полученные эмпирические данные, ключевым фактором формирования гражданской позиции курсантов выступает личный пример командиров и преподавателей (74% респондентов отметили высокое влияние). Это подтверждает особую роль института наставничества в военной педагогике [13]. Важнейшее значение имеют также практические военно-исторические мероприятия, такие как участие в мемориальных акциях, уход за местами воинской славы, военно-исторические реконструкции [24] (71% высоких оценок). Это подчеркивает важность вовлечения курсантов в деятельностные формы патриотического воспитания, вызывающие эмоциональный отклик.</w:t>
      </w:r>
    </w:p>
    <w:p>
      <w:pPr>
        <w:pStyle w:val="BodyText"/>
      </w:pPr>
      <w:r>
        <w:t xml:space="preserve">Оценка роли образовательного процесса показала, что социально-гуманитарные дисциплины (в частности, история белорусской государственности и политология) воспринимаются курсантами как прочный теоретический фундамент. Около 58% респондентов отметили их существенный вклад в понимание национальных интересов Беларуси.</w:t>
      </w:r>
    </w:p>
    <w:p>
      <w:pPr>
        <w:pStyle w:val="BodyText"/>
      </w:pPr>
      <w:r>
        <w:t xml:space="preserve">Вместе с тем, исследование позволило выявить ряд резервов для оптимизации процесса воспитания. Так, 20% курсантов указали на недостаточную эффективность традиционных информационных лекториев, назвав их излишне формализованными. Курсанты старших курсов выразили потребность в более активном внедрении дискуссионных площадок, дебатов на актуальные геополитические темы и тренингов по медиаграмотности. Будущие офицеры испытывают необходимость в получении навыков ведения информационной борьбы и защиты от внешних деструктивных воздействий. Результаты опроса убедительно доказывают, что современный курсант ориентирован на интерактивные, диалоговые и практико-ориентированные формы гражданско-патриотического воспитания, что требует модернизации существующих методических подходов.</w:t>
      </w:r>
    </w:p>
    <w:p>
      <w:r>
        <w:br w:type="page"/>
      </w:r>
    </w:p>
    <w:bookmarkEnd w:id="25"/>
    <w:bookmarkStart w:id="26" w:name="sec-7"/>
    <w:p>
      <w:pPr>
        <w:spacing w:line="360" w:lineRule="auto" w:after="40" w:afterAutospacing="0" w:beforeAutospacing="0"/>
        <w:pStyle w:val="Heading2"/>
      </w:pPr>
      <w:r>
        <w:t xml:space="preserve">6. Проблемы формирования гражданской идентичности</w:t>
      </w:r>
    </w:p>
    <w:p>
      <w:pPr>
        <w:pStyle w:val="FirstParagraph"/>
      </w:pPr>
      <w:r>
        <w:t xml:space="preserve">Процесс формирования гражданской идентичности у курсантов высших военных учебных заведений Республики Беларусь [6] протекает в условиях стремительно меняющейся геополитической обстановки, информационной конкуренции и ценностной трансформации современного общества. Несмотря на прочный фундамент и устоявшиеся традиции военного образования, существует ряд системных проблем, которые снижают эффективность воспитательной работы и требуют глубокого научно-педагогического осмысления.</w:t>
      </w:r>
    </w:p>
    <w:p>
      <w:pPr>
        <w:pStyle w:val="BodyText"/>
      </w:pPr>
      <w:r>
        <w:t xml:space="preserve">Первой и наиболее острой проблемой является противоречие между традиционными методами патриотического воспитания и особенностями восприятия информации современным поколением курсантов [19]. Сегодняшняя молодежь ориентирована на интерактивный контент, горизонтальные связи и критическое осмысление поступающих данных. В то же время в военных вузах нередко сохраняется доминирование авторитарно-лекционных и директивных форм донесения информации. Избыточный формализм, шаблонность мероприятий и упор на механическое воспроизведение исторических фактов вместо глубокого анализа исторических процессов ведут к формальному усвоению ценностей. В результате у части обучающихся формируется лишь внешняя демонстративная лояльность при отсутствии глубокого внутреннего убеждения.</w:t>
      </w:r>
    </w:p>
    <w:p>
      <w:pPr>
        <w:pStyle w:val="BodyText"/>
      </w:pPr>
      <w:r>
        <w:t xml:space="preserve">Второй ключевой вызов связан с мощным деструктивным влиянием глобального информационного пространства. В условиях гибридного противоборства будущие офицеры регулярно сталкиваются с альтернативными, зачастую искаженными трактовками исторических событий, а также с попытками дискредитации институтов государственной власти и традиционных ценностей белорусского общества. Традиционная закрытость военной системы усложняет оперативную адаптацию к динамичным изменениям в медиасреде. Курсанты испытывают дефицит навыков критического мышления, медиаграмотности и быстрой верификации информации, что делает их уязвимыми перед манипулятивными технологиями психологического воздействия.</w:t>
      </w:r>
    </w:p>
    <w:p>
      <w:pPr>
        <w:pStyle w:val="BodyText"/>
      </w:pPr>
      <w:r>
        <w:t xml:space="preserve">Третья проблема кроется в определенном разрыве между декларируемыми гражданскими ценностями и их практическим воплощением в повседневной жизнедеятельности военного вуза. Жесткая регламентация быта, безусловный приоритет служебной дисциплины и высокая учебная нагрузка иногда вытесняют на второй план развитие субъектности курсанта как гражданина. Для формирования полноценной гражданской идентичности молодой человек должен ощущать себя активным участником общественных процессов, иметь возможность проявлять социальную инициативу. Ограничение рамок жизнедеятельности исключительно территорией военного городка и рамками учебно-боевых задач препятствует интеграции курсантов в общегражданское пространство страны.</w:t>
      </w:r>
    </w:p>
    <w:p>
      <w:pPr>
        <w:pStyle w:val="BodyText"/>
      </w:pPr>
      <w:r>
        <w:t xml:space="preserve">Четвертым аспектом выступает слабая междисциплинарная интеграция в преподавании социально-гуманитарных и специальных военных дисциплин [15]. Зачастую история государственности, философия и политология изучаются в отрыве от военно-технической подготовки. Из-за этого у курсантов не всегда складывается целостная картина мира, где профессиональная служба и защита Отечества являются логическим продолжением исторического развития и современных национальных интересов страны.</w:t>
      </w:r>
    </w:p>
    <w:p>
      <w:pPr>
        <w:pStyle w:val="BodyText"/>
      </w:pPr>
      <w:r>
        <w:t xml:space="preserve">Для систематизации выявленных трудностей целесообразно классифицировать ключевые барьеры на пути эффективного формирования гражданской идентичности будущих офицеров.</w:t>
      </w:r>
    </w:p>
    <w:p>
      <w:pPr>
        <w:jc w:val="left"/>
        <w:ind w:firstLine="0"/>
        <w:spacing w:after="120"/>
      </w:pPr>
      <w:r>
        <w:rPr>
          <w:b/>
        </w:rPr>
        <w:t>Таблица 6 – Основные барьеры в формировании гражданской идентичности курсантов</w:t>
      </w:r>
    </w:p>
    <w:tbl>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jc w:val="center"/>
        <w:tblLayout w:type="autofit"/>
        <w:tblStyle w:val="TableGrid"/>
        <w:tblW w:w="9354" w:type="dxa"/>
        <w:tblLook w:firstRow="1" w:lastRow="0" w:firstColumn="0" w:lastColumn="0" w:noHBand="0" w:noVBand="0" w:val="0020"/>
      </w:tblPr>
      <w:tblGrid>
        <w:gridCol w:w="2640"/>
        <w:gridCol w:w="2640"/>
        <w:gridCol w:w="2640"/>
      </w:tblGrid>
      <w:tr>
        <w:trPr>
          <w:tblHeader w:val="true"/>
        </w:trPr>
        <w:tc>
          <w:tcPr>
            <w:vAlign w:val="center"/>
          </w:tcPr>
          <w:p>
            <w:pPr>
              <w:ind w:firstLine="0"/>
              <w:pStyle w:val="Compact"/>
              <w:jc w:val="center"/>
            </w:pPr>
            <w:r>
              <w:rPr>
                <w:b/>
                <w:bCs/>
                <w:sz w:val="24"/>
                <w:szCs w:val="24"/>
              </w:rPr>
              <w:t xml:space="preserve">Группа проблем</w:t>
            </w:r>
          </w:p>
        </w:tc>
        <w:tc>
          <w:tcPr>
            <w:vAlign w:val="center"/>
          </w:tcPr>
          <w:p>
            <w:pPr>
              <w:ind w:firstLine="0"/>
              <w:pStyle w:val="Compact"/>
              <w:jc w:val="center"/>
            </w:pPr>
            <w:r>
              <w:rPr>
                <w:b/>
                <w:bCs/>
                <w:sz w:val="24"/>
                <w:szCs w:val="24"/>
              </w:rPr>
              <w:t xml:space="preserve">Основные проявления</w:t>
            </w:r>
          </w:p>
        </w:tc>
        <w:tc>
          <w:tcPr>
            <w:vAlign w:val="center"/>
          </w:tcPr>
          <w:p>
            <w:pPr>
              <w:ind w:firstLine="0"/>
              <w:pStyle w:val="Compact"/>
              <w:jc w:val="center"/>
            </w:pPr>
            <w:r>
              <w:rPr>
                <w:b/>
                <w:bCs/>
                <w:sz w:val="24"/>
                <w:szCs w:val="24"/>
              </w:rPr>
              <w:t xml:space="preserve">Возможные последствия для личности курсанта</w:t>
            </w:r>
          </w:p>
        </w:tc>
      </w:tr>
      <w:tr>
        <w:tc>
          <w:tcPr>
            <w:vAlign w:val="center"/>
          </w:tcPr>
          <w:p>
            <w:pPr>
              <w:ind w:firstLine="0"/>
              <w:pStyle w:val="Compact"/>
              <w:jc w:val="center"/>
            </w:pPr>
            <w:r>
              <w:rPr>
                <w:sz w:val="24"/>
                <w:szCs w:val="24"/>
              </w:rPr>
              <w:t xml:space="preserve">Методологические</w:t>
            </w:r>
          </w:p>
        </w:tc>
        <w:tc>
          <w:tcPr>
            <w:vAlign w:val="center"/>
          </w:tcPr>
          <w:p>
            <w:pPr>
              <w:ind w:firstLine="0"/>
              <w:pStyle w:val="Compact"/>
              <w:jc w:val="center"/>
            </w:pPr>
            <w:r>
              <w:rPr>
                <w:sz w:val="24"/>
                <w:szCs w:val="24"/>
              </w:rPr>
              <w:t xml:space="preserve">Доминирование репродуктивных методов, формализм и шаблонизация воспитательной работы</w:t>
            </w:r>
          </w:p>
        </w:tc>
        <w:tc>
          <w:tcPr>
            <w:vAlign w:val="center"/>
          </w:tcPr>
          <w:p>
            <w:pPr>
              <w:ind w:firstLine="0"/>
              <w:pStyle w:val="Compact"/>
              <w:jc w:val="center"/>
            </w:pPr>
            <w:r>
              <w:rPr>
                <w:sz w:val="24"/>
                <w:szCs w:val="24"/>
              </w:rPr>
              <w:t xml:space="preserve">Формирование демонстративной лояльности, отсутствие личной сопричастности</w:t>
            </w:r>
          </w:p>
        </w:tc>
      </w:tr>
      <w:tr>
        <w:tc>
          <w:tcPr>
            <w:vAlign w:val="center"/>
          </w:tcPr>
          <w:p>
            <w:pPr>
              <w:ind w:firstLine="0"/>
              <w:pStyle w:val="Compact"/>
              <w:jc w:val="center"/>
            </w:pPr>
            <w:r>
              <w:rPr>
                <w:sz w:val="24"/>
                <w:szCs w:val="24"/>
              </w:rPr>
              <w:t xml:space="preserve">Информационные</w:t>
            </w:r>
          </w:p>
        </w:tc>
        <w:tc>
          <w:tcPr>
            <w:vAlign w:val="center"/>
          </w:tcPr>
          <w:p>
            <w:pPr>
              <w:ind w:firstLine="0"/>
              <w:pStyle w:val="Compact"/>
              <w:jc w:val="center"/>
            </w:pPr>
            <w:r>
              <w:rPr>
                <w:sz w:val="24"/>
                <w:szCs w:val="24"/>
              </w:rPr>
              <w:t xml:space="preserve">Слабая защищенность от манипулятивного воздействия, дефицит критического мышления</w:t>
            </w:r>
          </w:p>
        </w:tc>
        <w:tc>
          <w:tcPr>
            <w:vAlign w:val="center"/>
          </w:tcPr>
          <w:p>
            <w:pPr>
              <w:ind w:firstLine="0"/>
              <w:pStyle w:val="Compact"/>
              <w:jc w:val="center"/>
            </w:pPr>
            <w:r>
              <w:rPr>
                <w:sz w:val="24"/>
                <w:szCs w:val="24"/>
              </w:rPr>
              <w:t xml:space="preserve">Снижение устойчивости к деструктивной пропаганде, ценностная дезориентация</w:t>
            </w:r>
          </w:p>
        </w:tc>
      </w:tr>
      <w:tr>
        <w:tc>
          <w:tcPr>
            <w:vAlign w:val="center"/>
          </w:tcPr>
          <w:p>
            <w:pPr>
              <w:ind w:firstLine="0"/>
              <w:pStyle w:val="Compact"/>
              <w:jc w:val="center"/>
            </w:pPr>
            <w:r>
              <w:rPr>
                <w:sz w:val="24"/>
                <w:szCs w:val="24"/>
              </w:rPr>
              <w:t xml:space="preserve">Социально-деятельностные</w:t>
            </w:r>
          </w:p>
        </w:tc>
        <w:tc>
          <w:tcPr>
            <w:vAlign w:val="center"/>
          </w:tcPr>
          <w:p>
            <w:pPr>
              <w:ind w:firstLine="0"/>
              <w:pStyle w:val="Compact"/>
              <w:jc w:val="center"/>
            </w:pPr>
            <w:r>
              <w:rPr>
                <w:sz w:val="24"/>
                <w:szCs w:val="24"/>
              </w:rPr>
              <w:t xml:space="preserve">Ограничение возможностей для проявления гражданской и социальной активности</w:t>
            </w:r>
          </w:p>
        </w:tc>
        <w:tc>
          <w:tcPr>
            <w:vAlign w:val="center"/>
          </w:tcPr>
          <w:p>
            <w:pPr>
              <w:ind w:firstLine="0"/>
              <w:pStyle w:val="Compact"/>
              <w:jc w:val="center"/>
            </w:pPr>
            <w:r>
              <w:rPr>
                <w:sz w:val="24"/>
                <w:szCs w:val="24"/>
              </w:rPr>
              <w:t xml:space="preserve">Пассивность, отчуждение от общегражданских процессов</w:t>
            </w:r>
          </w:p>
        </w:tc>
      </w:tr>
      <w:tr>
        <w:tc>
          <w:tcPr>
            <w:vAlign w:val="center"/>
          </w:tcPr>
          <w:p>
            <w:pPr>
              <w:ind w:firstLine="0"/>
              <w:pStyle w:val="Compact"/>
              <w:jc w:val="center"/>
            </w:pPr>
            <w:r>
              <w:rPr>
                <w:sz w:val="24"/>
                <w:szCs w:val="24"/>
              </w:rPr>
              <w:t xml:space="preserve">Психолого-педагогические</w:t>
            </w:r>
          </w:p>
        </w:tc>
        <w:tc>
          <w:tcPr>
            <w:vAlign w:val="center"/>
          </w:tcPr>
          <w:p>
            <w:pPr>
              <w:ind w:firstLine="0"/>
              <w:pStyle w:val="Compact"/>
              <w:jc w:val="center"/>
            </w:pPr>
            <w:r>
              <w:rPr>
                <w:sz w:val="24"/>
                <w:szCs w:val="24"/>
              </w:rPr>
              <w:t xml:space="preserve">Трудности адаптации к жесткой армейской субкультуре, ценностный конфликт</w:t>
            </w:r>
          </w:p>
        </w:tc>
        <w:tc>
          <w:tcPr>
            <w:vAlign w:val="center"/>
          </w:tcPr>
          <w:p>
            <w:pPr>
              <w:ind w:firstLine="0"/>
              <w:pStyle w:val="Compact"/>
              <w:jc w:val="center"/>
            </w:pPr>
            <w:r>
              <w:rPr>
                <w:sz w:val="24"/>
                <w:szCs w:val="24"/>
              </w:rPr>
              <w:t xml:space="preserve">Снижение мотивации к военной службе, эмоциональное выгорание</w:t>
            </w:r>
          </w:p>
        </w:tc>
      </w:tr>
    </w:tbl>
    <w:p>
      <w:pPr>
        <w:pStyle w:val="BodyText"/>
      </w:pPr>
      <w:r>
        <w:t xml:space="preserve">Названные проблемы указывают на то, что формирование гражданской идентичности не может осуществляться исключительно административно-командными методами. Требуется переход к ценностно-ориентированной педагогике, основанной на диалоге, доверии и развитии субъектной позиции курсантов [18]. Важно не просто транслировать государственные ориентиры, но и создавать условия, при которых гражданственность и патриотизм будут восприниматься будущими офицерами как осознанный личный выбор и основа их профессиональной гордости.</w:t>
      </w:r>
    </w:p>
    <w:p>
      <w:r>
        <w:br w:type="page"/>
      </w:r>
    </w:p>
    <w:bookmarkEnd w:id="26"/>
    <w:bookmarkStart w:id="27" w:name="sec-8"/>
    <w:p>
      <w:pPr>
        <w:spacing w:line="360" w:lineRule="auto" w:after="40" w:afterAutospacing="0" w:beforeAutospacing="0"/>
        <w:pStyle w:val="Heading2"/>
      </w:pPr>
      <w:r>
        <w:t xml:space="preserve">7. Рекомендации по совершенствованию воспитания</w:t>
      </w:r>
    </w:p>
    <w:p>
      <w:pPr>
        <w:pStyle w:val="FirstParagraph"/>
      </w:pPr>
      <w:r>
        <w:t xml:space="preserve">На основе проведенного теоретического анализа, оценки учебных программ и результатов социологического исследования были сформулированы комплексные рекомендации по совершенствованию гражданско-патриотического воспитания курсантов военных вузов Республики Беларусь [6]. Предлагаемые меры направлены на преодоление фрагментарности воспитательного процесса, укрепление связи военных традиций с общегражданскими ценностями и повышение вовлеченности курсантов в общественную жизнь страны.</w:t>
      </w:r>
    </w:p>
    <w:p>
      <w:pPr>
        <w:pStyle w:val="BodyText"/>
      </w:pPr>
      <w:r>
        <w:t xml:space="preserve">Первым ключевым направлением является модернизация содержания социально-гуманитарных дисциплин [15]. Рекомендуется дополнить существующие программы по истории белорусской государственности и политологии практическими кейс-методами, симуляциями принятия государственных решений и панельными дискуссиями по актуальным вопросам национальной безопасности. Важно сместить акцент с пассивного усвоения историко-фактологического материала на формирование критического мышления, способности распознавать информационные угрозы и противостоять фальсификации истории. Для этого целесообразно внедрить в учебный процесс специализированные модули по медиаграмотности и гибридным угрозам.</w:t>
      </w:r>
    </w:p>
    <w:p>
      <w:pPr>
        <w:pStyle w:val="BodyText"/>
      </w:pPr>
      <w:r>
        <w:t xml:space="preserve">Вторым важным аспектом является интеграция военного образования с общей системой гражданского воспитания молодежи в государстве [20]. Курсанты должны выступать не просто объектами педагогического воздействия, а активными субъектами патриотического воспитания. Эффективным решением станет создание на базе военных вузов молодежных дискуссионных клубов, лекторских групп и волонтерских отрядов, которые будут регулярно проводить занятия по допризывной подготовке, уроки мужества и профориентационные встречи в общеобразовательных школах, гимназиях и колледжах. Это позволит укрепить имидж Вооруженных Сил и преодолеть изоляцию военных традиций от гражданского общества.</w:t>
      </w:r>
    </w:p>
    <w:p>
      <w:pPr>
        <w:pStyle w:val="BodyText"/>
      </w:pPr>
      <w:r>
        <w:t xml:space="preserve">Для систематизации предлагаемых изменений разработана комплексная программа действий, представленная в таблице ниже:</w:t>
      </w:r>
    </w:p>
    <w:p>
      <w:pPr>
        <w:jc w:val="left"/>
        <w:ind w:firstLine="0"/>
        <w:spacing w:after="120"/>
      </w:pPr>
      <w:r>
        <w:rPr>
          <w:b/>
        </w:rPr>
        <w:t>Таблица 7 – Программа действий по совершенствованию гражданско-патриотического воспитания курсантов</w:t>
      </w:r>
    </w:p>
    <w:tbl>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jc w:val="center"/>
        <w:tblLayout w:type="autofit"/>
        <w:tblStyle w:val="TableGrid"/>
        <w:tblW w:w="9354" w:type="dxa"/>
        <w:tblLook w:firstRow="1" w:lastRow="0" w:firstColumn="0" w:lastColumn="0" w:noHBand="0" w:noVBand="0" w:val="0020"/>
      </w:tblPr>
      <w:tblGrid>
        <w:gridCol w:w="1980"/>
        <w:gridCol w:w="1980"/>
        <w:gridCol w:w="1980"/>
        <w:gridCol w:w="1980"/>
      </w:tblGrid>
      <w:tr>
        <w:trPr>
          <w:tblHeader w:val="true"/>
        </w:trPr>
        <w:tc>
          <w:tcPr>
            <w:vAlign w:val="center"/>
          </w:tcPr>
          <w:p>
            <w:pPr>
              <w:ind w:firstLine="0"/>
              <w:pStyle w:val="Compact"/>
              <w:jc w:val="center"/>
            </w:pPr>
            <w:r>
              <w:rPr>
                <w:b/>
                <w:bCs/>
                <w:sz w:val="24"/>
                <w:szCs w:val="24"/>
              </w:rPr>
              <w:t xml:space="preserve">Направление модернизации</w:t>
            </w:r>
          </w:p>
        </w:tc>
        <w:tc>
          <w:tcPr>
            <w:vAlign w:val="center"/>
          </w:tcPr>
          <w:p>
            <w:pPr>
              <w:ind w:firstLine="0"/>
              <w:pStyle w:val="Compact"/>
              <w:jc w:val="center"/>
            </w:pPr>
            <w:r>
              <w:rPr>
                <w:b/>
                <w:bCs/>
                <w:sz w:val="24"/>
                <w:szCs w:val="24"/>
              </w:rPr>
              <w:t xml:space="preserve">Конкретные мероприятия</w:t>
            </w:r>
          </w:p>
        </w:tc>
        <w:tc>
          <w:tcPr>
            <w:vAlign w:val="center"/>
          </w:tcPr>
          <w:p>
            <w:pPr>
              <w:ind w:firstLine="0"/>
              <w:pStyle w:val="Compact"/>
              <w:jc w:val="center"/>
            </w:pPr>
            <w:r>
              <w:rPr>
                <w:b/>
                <w:bCs/>
                <w:sz w:val="24"/>
                <w:szCs w:val="24"/>
              </w:rPr>
              <w:t xml:space="preserve">Ответственные за реализацию</w:t>
            </w:r>
          </w:p>
        </w:tc>
        <w:tc>
          <w:tcPr>
            <w:vAlign w:val="center"/>
          </w:tcPr>
          <w:p>
            <w:pPr>
              <w:ind w:firstLine="0"/>
              <w:pStyle w:val="Compact"/>
              <w:jc w:val="center"/>
            </w:pPr>
            <w:r>
              <w:rPr>
                <w:b/>
                <w:bCs/>
                <w:sz w:val="24"/>
                <w:szCs w:val="24"/>
              </w:rPr>
              <w:t xml:space="preserve">Ожидаемый результат</w:t>
            </w:r>
          </w:p>
        </w:tc>
      </w:tr>
      <w:tr>
        <w:tc>
          <w:tcPr>
            <w:vAlign w:val="center"/>
          </w:tcPr>
          <w:p>
            <w:pPr>
              <w:ind w:firstLine="0"/>
              <w:pStyle w:val="Compact"/>
              <w:jc w:val="center"/>
            </w:pPr>
            <w:r>
              <w:rPr>
                <w:sz w:val="24"/>
                <w:szCs w:val="24"/>
              </w:rPr>
              <w:t xml:space="preserve">Совершенствование учебного процесса</w:t>
            </w:r>
          </w:p>
        </w:tc>
        <w:tc>
          <w:tcPr>
            <w:vAlign w:val="center"/>
          </w:tcPr>
          <w:p>
            <w:pPr>
              <w:ind w:firstLine="0"/>
              <w:pStyle w:val="Compact"/>
              <w:jc w:val="center"/>
            </w:pPr>
            <w:r>
              <w:rPr>
                <w:sz w:val="24"/>
                <w:szCs w:val="24"/>
              </w:rPr>
              <w:t xml:space="preserve">Внедрение интерактивных кейсов по национальной безопасности, курсов по медиаграмотности.</w:t>
            </w:r>
          </w:p>
        </w:tc>
        <w:tc>
          <w:tcPr>
            <w:vAlign w:val="center"/>
          </w:tcPr>
          <w:p>
            <w:pPr>
              <w:ind w:firstLine="0"/>
              <w:pStyle w:val="Compact"/>
              <w:jc w:val="center"/>
            </w:pPr>
            <w:r>
              <w:rPr>
                <w:sz w:val="24"/>
                <w:szCs w:val="24"/>
              </w:rPr>
              <w:t xml:space="preserve">Кафедры социально-гуманитарных наук, учебно-методический отдел.</w:t>
            </w:r>
          </w:p>
        </w:tc>
        <w:tc>
          <w:tcPr>
            <w:vAlign w:val="center"/>
          </w:tcPr>
          <w:p>
            <w:pPr>
              <w:ind w:firstLine="0"/>
              <w:pStyle w:val="Compact"/>
              <w:jc w:val="center"/>
            </w:pPr>
            <w:r>
              <w:rPr>
                <w:sz w:val="24"/>
                <w:szCs w:val="24"/>
              </w:rPr>
              <w:t xml:space="preserve">Повышение уровня критического мышления, готовности к защите информационного суверенитета.</w:t>
            </w:r>
          </w:p>
        </w:tc>
      </w:tr>
      <w:tr>
        <w:tc>
          <w:tcPr>
            <w:vAlign w:val="center"/>
          </w:tcPr>
          <w:p>
            <w:pPr>
              <w:ind w:firstLine="0"/>
              <w:pStyle w:val="Compact"/>
              <w:jc w:val="center"/>
            </w:pPr>
            <w:r>
              <w:rPr>
                <w:sz w:val="24"/>
                <w:szCs w:val="24"/>
              </w:rPr>
              <w:t xml:space="preserve">Взаимодействие с обществом</w:t>
            </w:r>
          </w:p>
        </w:tc>
        <w:tc>
          <w:tcPr>
            <w:vAlign w:val="center"/>
          </w:tcPr>
          <w:p>
            <w:pPr>
              <w:ind w:firstLine="0"/>
              <w:pStyle w:val="Compact"/>
              <w:jc w:val="center"/>
            </w:pPr>
            <w:r>
              <w:rPr>
                <w:sz w:val="24"/>
                <w:szCs w:val="24"/>
              </w:rPr>
              <w:t xml:space="preserve">Патронат над мемориалами, проведение уроков мужества в школах, организация шефской помощи.</w:t>
            </w:r>
          </w:p>
        </w:tc>
        <w:tc>
          <w:tcPr>
            <w:vAlign w:val="center"/>
          </w:tcPr>
          <w:p>
            <w:pPr>
              <w:ind w:firstLine="0"/>
              <w:pStyle w:val="Compact"/>
              <w:jc w:val="center"/>
            </w:pPr>
            <w:r>
              <w:rPr>
                <w:sz w:val="24"/>
                <w:szCs w:val="24"/>
              </w:rPr>
              <w:t xml:space="preserve">Отдел воспитательной работы, курсантское самоуправление.</w:t>
            </w:r>
          </w:p>
        </w:tc>
        <w:tc>
          <w:tcPr>
            <w:vAlign w:val="center"/>
          </w:tcPr>
          <w:p>
            <w:pPr>
              <w:ind w:firstLine="0"/>
              <w:pStyle w:val="Compact"/>
              <w:jc w:val="center"/>
            </w:pPr>
            <w:r>
              <w:rPr>
                <w:sz w:val="24"/>
                <w:szCs w:val="24"/>
              </w:rPr>
              <w:t xml:space="preserve">Усиление интеграции военных традиций в общую систему воспитания, рост авторитета армии.</w:t>
            </w:r>
          </w:p>
        </w:tc>
      </w:tr>
      <w:tr>
        <w:tc>
          <w:tcPr>
            <w:vAlign w:val="center"/>
          </w:tcPr>
          <w:p>
            <w:pPr>
              <w:ind w:firstLine="0"/>
              <w:pStyle w:val="Compact"/>
              <w:jc w:val="center"/>
            </w:pPr>
            <w:r>
              <w:rPr>
                <w:sz w:val="24"/>
                <w:szCs w:val="24"/>
              </w:rPr>
              <w:t xml:space="preserve">Цифровизация воспитательной среды</w:t>
            </w:r>
          </w:p>
        </w:tc>
        <w:tc>
          <w:tcPr>
            <w:vAlign w:val="center"/>
          </w:tcPr>
          <w:p>
            <w:pPr>
              <w:ind w:firstLine="0"/>
              <w:pStyle w:val="Compact"/>
              <w:jc w:val="center"/>
            </w:pPr>
            <w:r>
              <w:rPr>
                <w:sz w:val="24"/>
                <w:szCs w:val="24"/>
              </w:rPr>
              <w:t xml:space="preserve">Создание мультимедийных патриотических проектов, ведение курсантами блогов об армейской службе.</w:t>
            </w:r>
          </w:p>
        </w:tc>
        <w:tc>
          <w:tcPr>
            <w:vAlign w:val="center"/>
          </w:tcPr>
          <w:p>
            <w:pPr>
              <w:ind w:firstLine="0"/>
              <w:pStyle w:val="Compact"/>
              <w:jc w:val="center"/>
            </w:pPr>
            <w:r>
              <w:rPr>
                <w:sz w:val="24"/>
                <w:szCs w:val="24"/>
              </w:rPr>
              <w:t xml:space="preserve">Пресс-служба вуза, ИТ-подразделения, воспитательный отдел.</w:t>
            </w:r>
          </w:p>
        </w:tc>
        <w:tc>
          <w:tcPr>
            <w:vAlign w:val="center"/>
          </w:tcPr>
          <w:p>
            <w:pPr>
              <w:ind w:firstLine="0"/>
              <w:pStyle w:val="Compact"/>
              <w:jc w:val="center"/>
            </w:pPr>
            <w:r>
              <w:rPr>
                <w:sz w:val="24"/>
                <w:szCs w:val="24"/>
              </w:rPr>
              <w:t xml:space="preserve">Формирование привлекательного цифрового контента, развитие лидерских качеств курсантов.</w:t>
            </w:r>
          </w:p>
        </w:tc>
      </w:tr>
      <w:tr>
        <w:tc>
          <w:tcPr>
            <w:vAlign w:val="center"/>
          </w:tcPr>
          <w:p>
            <w:pPr>
              <w:ind w:firstLine="0"/>
              <w:pStyle w:val="Compact"/>
              <w:jc w:val="center"/>
            </w:pPr>
            <w:r>
              <w:rPr>
                <w:sz w:val="24"/>
                <w:szCs w:val="24"/>
              </w:rPr>
              <w:t xml:space="preserve">Мониторинг эффективности</w:t>
            </w:r>
          </w:p>
        </w:tc>
        <w:tc>
          <w:tcPr>
            <w:vAlign w:val="center"/>
          </w:tcPr>
          <w:p>
            <w:pPr>
              <w:ind w:firstLine="0"/>
              <w:pStyle w:val="Compact"/>
              <w:jc w:val="center"/>
            </w:pPr>
            <w:r>
              <w:rPr>
                <w:sz w:val="24"/>
                <w:szCs w:val="24"/>
              </w:rPr>
              <w:t xml:space="preserve">Проведение ежегодного анкетирования ценностных ориентаций и гражданской идентичности.</w:t>
            </w:r>
          </w:p>
        </w:tc>
        <w:tc>
          <w:tcPr>
            <w:vAlign w:val="center"/>
          </w:tcPr>
          <w:p>
            <w:pPr>
              <w:ind w:firstLine="0"/>
              <w:pStyle w:val="Compact"/>
              <w:jc w:val="center"/>
            </w:pPr>
            <w:r>
              <w:rPr>
                <w:sz w:val="24"/>
                <w:szCs w:val="24"/>
              </w:rPr>
              <w:t xml:space="preserve">Социологическая служба вуза, приглашенные специалисты.</w:t>
            </w:r>
          </w:p>
        </w:tc>
        <w:tc>
          <w:tcPr>
            <w:vAlign w:val="center"/>
          </w:tcPr>
          <w:p>
            <w:pPr>
              <w:ind w:firstLine="0"/>
              <w:pStyle w:val="Compact"/>
              <w:jc w:val="center"/>
            </w:pPr>
            <w:r>
              <w:rPr>
                <w:sz w:val="24"/>
                <w:szCs w:val="24"/>
              </w:rPr>
              <w:t xml:space="preserve">Получение оперативных данных для коррекции планов воспитательной работы.</w:t>
            </w:r>
          </w:p>
        </w:tc>
      </w:tr>
    </w:tbl>
    <w:p>
      <w:pPr>
        <w:pStyle w:val="BodyText"/>
      </w:pPr>
      <w:r>
        <w:t xml:space="preserve">Третье направление связано с развитием цифровой информационной среды военных вузов. Современное поколение курсантов ориентировано на цифровые каналы коммуникации, поэтому классические методы воспитательной работы необходимо дополнять новыми форматами. Целесообразно стимулировать создание курсантами собственного патриотического медиаконтента: видеороликов о жизни вуза, подкастов об истории воинских частей, интерактивных карт боевой славы регионов Беларуси. Включение курсантов в активную информационную деятельность не только развивает их творческий потенциал, но и формирует осознанную патриотическую позицию.</w:t>
      </w:r>
    </w:p>
    <w:p>
      <w:pPr>
        <w:pStyle w:val="BodyText"/>
      </w:pPr>
      <w:r>
        <w:t xml:space="preserve">Наконец, важным элементом должно стать внедрение системы регулярного мониторинга ценностных ориентаций курсантов [19] на протяжении всего периода обучения. Оценка динамики формирования гражданской идентичности от первого до выпускного курса позволит своевременно корректировать планы воспитательной работы, оперативно реагировать на деструктивные ментальные тренды и оптимизировать методы педагогического воздействия. Конечной целью реализации данных рекомендаций является подготовка не просто высококлассного военного специалиста, а сознательного гражданина-патриота, готового к выполнению конституционного долга по защите Республики Беларусь.</w:t>
      </w:r>
    </w:p>
    <w:p>
      <w:r>
        <w:br w:type="page"/>
      </w:r>
    </w:p>
    <w:bookmarkEnd w:id="27"/>
    <w:bookmarkEnd w:id="28"/>
    <w:bookmarkStart w:id="29" w:name="sec-9"/>
    <w:p>
      <w:pPr>
        <w:spacing w:line="360" w:lineRule="auto" w:after="50" w:afterAutospacing="0" w:beforeAutospacing="0"/>
        <w:pStyle w:val="Heading1"/>
      </w:pPr>
      <w:r>
        <w:t xml:space="preserve">ЗАКЛЮЧЕНИЕ</w:t>
      </w:r>
    </w:p>
    <w:p>
      <w:pPr>
        <w:pStyle w:val="FirstParagraph"/>
      </w:pPr>
      <w:r>
        <w:t xml:space="preserve">Проведенное исследование позволило комплексно рассмотреть роль высшего военного образования в воспитании гражданина Республики Беларусь [1], проанализировать его специфику, выявить актуальные проблемы и наметить практические пути их решения. Военное образование в современных условиях выступает не просто как процесс подготовки высококвалифицированных военных специалистов, но и как важнейший институт социализации, целенаправленно формирующий у будущих офицеров глубокое гражданское самосознание, патриотизм и высокие морально-волевые качества. Это подтверждает выдвинутую в начале проекта гипотезу о том, что интеграция лучших воинских традиций и передовых образовательных стандартов является ключевым фактором укрепления гражданской идентичности белорусской молодежи.</w:t>
      </w:r>
    </w:p>
    <w:p>
      <w:pPr>
        <w:pStyle w:val="BodyText"/>
      </w:pPr>
      <w:r>
        <w:t xml:space="preserve">В теоретической части работы были обобщены ключевые подходы к определению гражданственности и патриотизма, а также установлена их неразрывная связь с обеспечением национальной безопасности государства. Опираясь на образовательные стандарты Республики Беларусь, авторы детально проанализировали специфику учебных планов военных высших учебных заведений [6]. Результаты анализа показали, что воспитательная работа в вузах военного профиля носит непрерывный, системный характер и глубоко интегрирована в учебный процесс. Тем не менее, была выявлена необходимость дальнейшей гармонизации классических воинских традиций с современными социокультурными тенденциями, требующими новых подходов к взаимодействию с молодежью.</w:t>
      </w:r>
    </w:p>
    <w:p>
      <w:pPr>
        <w:pStyle w:val="BodyText"/>
      </w:pPr>
      <w:r>
        <w:t xml:space="preserve">Проведенное в рамках проекта социологическое исследование среди курсантов и профессорско-преподавательского состава позволило получить объективную картину текущего состояния воспитательной работы. Опрос показал высокий уровень патриотизма и готовности к защите Отечества среди будущих офицеров. Вместе с тем, респонденты указали на важность обновления используемых методов гражданского воспитания. В частности, отмечается запрос на более активное внедрение интерактивных форм обучения, расширение дискуссионных площадок и более глубокое использование цифровых ресурсов при изучении истории и культуры Беларуси.</w:t>
      </w:r>
    </w:p>
    <w:p>
      <w:pPr>
        <w:pStyle w:val="BodyText"/>
      </w:pPr>
      <w:r>
        <w:t xml:space="preserve">Главным практическим результатом проекта стала разработка комплекса методических рекомендаций по совершенствованию гражданского воспитания курсантов. Предложенные меры направлены на решение выявленных проблем и включают в себя:</w:t>
      </w:r>
    </w:p>
    <w:p>
      <w:pPr>
        <w:numPr>
          <w:ilvl w:val="0"/>
          <w:numId w:val="1002"/>
        </w:numPr>
      </w:pPr>
      <w:r>
        <w:t xml:space="preserve">модернизацию программ социально-гуманитарных дисциплин с акцентом на интерактивные методы, дебаты и анализ современных общественно-политических процессов;</w:t>
      </w:r>
    </w:p>
    <w:p>
      <w:pPr>
        <w:numPr>
          <w:ilvl w:val="0"/>
          <w:numId w:val="1002"/>
        </w:numPr>
      </w:pPr>
      <w:r>
        <w:t xml:space="preserve">расширение участия курсантов в общественно-значимых и волонтерских проектах регионального и республиканского уровней, способствующих развитию социальной ответственности;</w:t>
      </w:r>
    </w:p>
    <w:p>
      <w:pPr>
        <w:numPr>
          <w:ilvl w:val="0"/>
          <w:numId w:val="1002"/>
        </w:numPr>
      </w:pPr>
      <w:r>
        <w:t xml:space="preserve">активизацию использования современных цифровых платформ и мультимедийного контента для освещения героического прошлого и достижений современной Беларуси;</w:t>
      </w:r>
    </w:p>
    <w:p>
      <w:pPr>
        <w:numPr>
          <w:ilvl w:val="0"/>
          <w:numId w:val="1002"/>
        </w:numPr>
      </w:pPr>
      <w:r>
        <w:t xml:space="preserve">создание постоянно действующих дискуссионных клубов на базе военных вузов для открытого обсуждения актуальных вопросов государственной политики и безопасности.</w:t>
      </w:r>
    </w:p>
    <w:p>
      <w:pPr>
        <w:pStyle w:val="FirstParagraph"/>
      </w:pPr>
      <w:r>
        <w:t xml:space="preserve">Данные рекомендации ориентированы на руководство военных вузов Республики Беларусь, специалистов по воспитательной работе и преподавателей гуманитарного цикла. Их внедрение в образовательный процесс позволит значительно повысить эффективность формирования гражданской ответственности [18], предотвратить риски формализма в воспитательной работе и обеспечить подготовку не только профессиональных защитников Родины, но и активных граждан, готовых созидать во благо государства. Таким образом, цель проекта была успешно достигнута, а задачи — полностью решены. Дальнейшие перспективы исследования могут быть связаны с мониторингом эффективности предложенных рекомендаций в долгосрочной перспективе и изучением опыта смежных областей профессионального образования в сфере гражданского воспитания.</w:t>
      </w:r>
    </w:p>
    <w:p>
      <w:r>
        <w:br w:type="page"/>
      </w:r>
    </w:p>
    <w:bookmarkEnd w:id="29"/>
    <w:bookmarkStart w:id="30" w:name="bibliography"/>
    <w:p>
      <w:pPr>
        <w:spacing w:line="360" w:lineRule="auto" w:after="50" w:afterAutospacing="0" w:beforeAutospacing="0"/>
        <w:pStyle w:val="Heading1"/>
      </w:pPr>
      <w:r>
        <w:t xml:space="preserve">СПИСОК ИСПОЛЬЗОВАННЫХ ИСТОЧНИКОВ</w:t>
      </w:r>
    </w:p>
    <w:p>
      <w:pPr>
        <w:numPr>
          <w:ilvl w:val="0"/>
          <w:numId w:val="1003"/>
        </w:numPr>
        <w:pStyle w:val="Compact"/>
      </w:pPr>
      <w:r>
        <w:t xml:space="preserve">Военно-патриотическое воспитание – Витебский филиал УО… // vfbsac.by [сайт]. URL: https://vfbsac.by/uchashhimsya/vospitatelnaya-rabota/patrioticheskoe-vospitanie (дата обращения: 06.09.2026).</w:t>
      </w:r>
    </w:p>
    <w:p>
      <w:pPr>
        <w:numPr>
          <w:ilvl w:val="0"/>
          <w:numId w:val="1003"/>
        </w:numPr>
        <w:pStyle w:val="Compact"/>
      </w:pPr>
      <w:r>
        <w:t xml:space="preserve">Военно-патриотическое воспитание - Средняя школа… // sch5.edus.by [сайт]. URL: https://sch5.edus.by/воспитательная-работа/военно-патриотическое-воспитание (дата обращения: 06.09.2026).</w:t>
      </w:r>
    </w:p>
    <w:p>
      <w:pPr>
        <w:numPr>
          <w:ilvl w:val="0"/>
          <w:numId w:val="1003"/>
        </w:numPr>
        <w:pStyle w:val="Compact"/>
      </w:pPr>
      <w:r>
        <w:t xml:space="preserve">Военно-патриотическое воспитание - Старосверженская средняя… // stsverzhen.stolbtsy-edu.gov.by [сайт]. URL: https://stsverzhen.stolbtsy-edu.gov.by/об-учреждении/идеология/об-учреждении-военно-патриотическое-воспитание (дата обращения: 06.09.2026).</w:t>
      </w:r>
    </w:p>
    <w:p>
      <w:pPr>
        <w:numPr>
          <w:ilvl w:val="0"/>
          <w:numId w:val="1003"/>
        </w:numPr>
        <w:pStyle w:val="Compact"/>
      </w:pPr>
      <w:r>
        <w:t xml:space="preserve">Гражданско-патриотическое воспитание молодёжи | БГАА // bgaa.by [сайт]. URL: https://bgaa.by/grazhdansko-patrioticheskoe-vospitanie (дата обращения: 06.09.2026).</w:t>
      </w:r>
    </w:p>
    <w:p>
      <w:pPr>
        <w:numPr>
          <w:ilvl w:val="0"/>
          <w:numId w:val="1003"/>
        </w:numPr>
        <w:pStyle w:val="Compact"/>
      </w:pPr>
      <w:r>
        <w:t xml:space="preserve">Классы военно-патриотической направленности // school12mog.by – 2024 – https://school12mog.by/about-school/military-patriotic-classes (дата обращения: 06.09.2026).</w:t>
      </w:r>
    </w:p>
    <w:p>
      <w:pPr>
        <w:numPr>
          <w:ilvl w:val="0"/>
          <w:numId w:val="1003"/>
        </w:numPr>
        <w:pStyle w:val="Compact"/>
      </w:pPr>
      <w:r>
        <w:t xml:space="preserve">Хан Ц., Чекина Е.В. СИСТЕМАТИЗАЦИЯ ГРАЖДАНСКО-ПАТРИОТИЧЕСКОГО ВОСПИТАНИЯ В ВЫСШЕМ ОБРАЗОВАНИИ БЕЛАРУСИ: ЕДИНООБРАЗИЕ УЧЕБНЫХ ПЛАНОВ, ИНСТИТУЦИОНАЛЬНЫЕ ПРАКТИКИ И ТРИЕДИНАЯ МЕТОДОЛОГИЯ // Вестник Полоцкого государственного университета. Серия E. Педагогические науки. 2026.</w:t>
      </w:r>
    </w:p>
    <w:p>
      <w:pPr>
        <w:numPr>
          <w:ilvl w:val="0"/>
          <w:numId w:val="1003"/>
        </w:numPr>
        <w:pStyle w:val="Compact"/>
      </w:pPr>
      <w:r>
        <w:t xml:space="preserve">Савченко, Е. А. Теория и методика воспитания : учебник и практикум / Е. А. Савченко, Т. П. Макарова. — Москва : Русайнс, 2024. — 302 с. — ISBN 978-5-466-06619-7.</w:t>
      </w:r>
    </w:p>
    <w:p>
      <w:pPr>
        <w:numPr>
          <w:ilvl w:val="0"/>
          <w:numId w:val="1003"/>
        </w:numPr>
        <w:pStyle w:val="Compact"/>
      </w:pPr>
      <w:r>
        <w:t xml:space="preserve">Сливин Т.С., Терещенко А.Д. Организация и содержание воспитания военнослужащих Вооруженных сил Республики Беларусь // Вестник университета. 2012.</w:t>
      </w:r>
    </w:p>
    <w:p>
      <w:pPr>
        <w:numPr>
          <w:ilvl w:val="0"/>
          <w:numId w:val="1003"/>
        </w:numPr>
        <w:pStyle w:val="Compact"/>
      </w:pPr>
      <w:r>
        <w:t xml:space="preserve">Максимов, С.В. Государственно-патриотическое воспитание в современной России : Практическое пособие / С.В. Максимов, А.В. Павлинов — Москва : Проспект, 2024. — 71 с. — ISBN 978-5-392-41025-5.</w:t>
      </w:r>
    </w:p>
    <w:p>
      <w:pPr>
        <w:numPr>
          <w:ilvl w:val="0"/>
          <w:numId w:val="1003"/>
        </w:numPr>
        <w:pStyle w:val="Compact"/>
      </w:pPr>
      <w:r>
        <w:t xml:space="preserve">Бахлова О.В., Бахлов И.В. ПАТРИОТИЧЕСКОЕ ВОСПИТАНИЕ МОЛОДЕЖИ В КОНТЕКСТЕ ПОЛИТИКИ ИДЕНТИЧНОСТИ: ОПЫТ РОССИЙСКОЙ ФЕДЕРАЦИИ И РЕСПУБЛИКИ БЕЛАРУСЬ // Большая Евразия: развитие, безопасность, сотрудничество. 2020.</w:t>
      </w:r>
    </w:p>
    <w:p>
      <w:pPr>
        <w:numPr>
          <w:ilvl w:val="0"/>
          <w:numId w:val="1003"/>
        </w:numPr>
        <w:pStyle w:val="Compact"/>
      </w:pPr>
      <w:r>
        <w:t xml:space="preserve">Дорошенко, О. М. Актуальные вопросы и противоречия в воспитании и психолого-педагогической сфере : монография / О. М. Дорошенко, А. А. Базулина, О. Ю. Ананьин. — Москва : Русайнс, 2025. — 98 с. — ISBN 978-5-466-10619-0.</w:t>
      </w:r>
    </w:p>
    <w:p>
      <w:pPr>
        <w:numPr>
          <w:ilvl w:val="0"/>
          <w:numId w:val="1003"/>
        </w:numPr>
        <w:pStyle w:val="Compact"/>
      </w:pPr>
      <w:r>
        <w:t xml:space="preserve">Моисеенко В.Г., Войтеховский А.В. Формирование патриотических ценностей курсантов Института пограничной службы Республики Беларусь в современных условиях // Социологический альманах. 2017.</w:t>
      </w:r>
    </w:p>
    <w:p>
      <w:pPr>
        <w:numPr>
          <w:ilvl w:val="0"/>
          <w:numId w:val="1003"/>
        </w:numPr>
        <w:pStyle w:val="Compact"/>
      </w:pPr>
      <w:r>
        <w:t xml:space="preserve">Макаров, А. П. Основы методики преподавания учебной дисциплины в военном вузе. : учебное пособие / А. П. Макаров, В. И. Литвиненко, ; под общ. ред. А. П. Макарова. — Москва : КноРус, 2026. — 194 с. — ISBN 978-5-406-15159-4.</w:t>
      </w:r>
    </w:p>
    <w:p>
      <w:pPr>
        <w:numPr>
          <w:ilvl w:val="0"/>
          <w:numId w:val="1003"/>
        </w:numPr>
        <w:pStyle w:val="Compact"/>
      </w:pPr>
      <w:r>
        <w:t xml:space="preserve">Глазырин А.А. ДУХОВНО-НРАВСТВЕННЫЕ АСПЕКТЫ ПАТРИОТИЧЕСКОГО ВОСПИТАНИЯ КУРСАНТОВ АКАДЕМИИ МВД СРЕДСТВАМИ ФИЗИЧЕСКОЙ КУЛЬТУРЫ И СПОРТА // Вестник Полоцкого государственного университета. Серия E. Педагогические науки. 2010.</w:t>
      </w:r>
    </w:p>
    <w:p>
      <w:pPr>
        <w:numPr>
          <w:ilvl w:val="0"/>
          <w:numId w:val="1003"/>
        </w:numPr>
        <w:pStyle w:val="Compact"/>
      </w:pPr>
      <w:r>
        <w:t xml:space="preserve">Образовательный и воспитательный потенциал гуманитарных дисциплин в современном вузе : монография / Н. К. Иванова, Д. С. Буданова, К. А. Врыганова [и др.] ; под общ. ред. Н. К. Ивановой. — Москва : Русайнс, 2023. — 235 с. — ISBN 978-5-466-03726-5.</w:t>
      </w:r>
    </w:p>
    <w:p>
      <w:pPr>
        <w:numPr>
          <w:ilvl w:val="0"/>
          <w:numId w:val="1003"/>
        </w:numPr>
        <w:pStyle w:val="Compact"/>
      </w:pPr>
      <w:r>
        <w:t xml:space="preserve">Гришанков Н.Н., Капкович М.И., Савик С.А. ВОЕННО-ПАТРИОТИЧЕСКОЕ ВОСПИТАНИЕ КУРСАНТОВ ВОЕННО-ТЕХНИЧЕСКОГО ФАКУЛЬТЕТА // Труды БГТУ. Серия 6: История, философия. 2025.</w:t>
      </w:r>
    </w:p>
    <w:p>
      <w:pPr>
        <w:numPr>
          <w:ilvl w:val="0"/>
          <w:numId w:val="1003"/>
        </w:numPr>
        <w:pStyle w:val="Compact"/>
      </w:pPr>
      <w:r>
        <w:t xml:space="preserve">Проблемы вещного права в Союзном государстве Беларуси и России : монография / ; под ред. В. П. Павлова, Коллектив авторов. — Москва : Русайнс, 2019. — 498 с. — ISBN 978-5-4365-3292-9.</w:t>
      </w:r>
    </w:p>
    <w:p>
      <w:pPr>
        <w:numPr>
          <w:ilvl w:val="0"/>
          <w:numId w:val="1003"/>
        </w:numPr>
        <w:pStyle w:val="Compact"/>
      </w:pPr>
      <w:r>
        <w:t xml:space="preserve">Юршин А.Д. ПЕДАГОГИЧЕСКИЕ УСЛОВИЯ ФОРМИРОВАНИЯ ГРАЖДАНСТВЕННОСТИ БУДУЩИХ ОФИЦЕРОВ В ОБРАЗОВАТЕЛЬНОМ ПРОЦЕССЕ ВОЕННОГО ВУЗА // Воздушно-космические силы. Теория и практика. 2022.</w:t>
      </w:r>
    </w:p>
    <w:p>
      <w:pPr>
        <w:numPr>
          <w:ilvl w:val="0"/>
          <w:numId w:val="1003"/>
        </w:numPr>
        <w:pStyle w:val="Compact"/>
      </w:pPr>
      <w:r>
        <w:t xml:space="preserve">Никитин Ю.Г. Формирование готовности курсантов военного вуза к реализации гражданской позиции // Вестник Костромского государственного университета. Серия: Педагогика. Психология. Социокинетика. 2012.</w:t>
      </w:r>
    </w:p>
    <w:p>
      <w:pPr>
        <w:numPr>
          <w:ilvl w:val="0"/>
          <w:numId w:val="1003"/>
        </w:numPr>
        <w:pStyle w:val="Compact"/>
      </w:pPr>
      <w:r>
        <w:t xml:space="preserve">Байрамуков Ю.Б., Лушников Ю.Ю. МОДЕЛЬ ВОСПИТАТЕЛЬНОЙ СИСТЕМЫ УЧЕБНОГО ВОЕННОГО ЦЕНТРА ПРИ ГРАЖДАНСКОМ ВУЗЕ // Педагогический журнал Башкортостана. 2015.</w:t>
      </w:r>
    </w:p>
    <w:p>
      <w:pPr>
        <w:numPr>
          <w:ilvl w:val="0"/>
          <w:numId w:val="1003"/>
        </w:numPr>
        <w:pStyle w:val="Compact"/>
      </w:pPr>
      <w:r>
        <w:t xml:space="preserve">Ильюх М.П. Кодекс чести и его роль в системе воспитания будущего офицера-авиатора // Мир науки, культуры, образования. 2014.</w:t>
      </w:r>
    </w:p>
    <w:p>
      <w:pPr>
        <w:numPr>
          <w:ilvl w:val="0"/>
          <w:numId w:val="1003"/>
        </w:numPr>
        <w:pStyle w:val="Compact"/>
      </w:pPr>
      <w:r>
        <w:t xml:space="preserve">Мелентьев А.В. ЭТАПЫ ПАТРИОТИЧЕСКОГО ВОСПИТАНИЯ // Образование и право. 2020.</w:t>
      </w:r>
    </w:p>
    <w:p>
      <w:pPr>
        <w:numPr>
          <w:ilvl w:val="0"/>
          <w:numId w:val="1003"/>
        </w:numPr>
        <w:pStyle w:val="Compact"/>
      </w:pPr>
      <w:r>
        <w:t xml:space="preserve">Климко М.К. ДОПРИЗЫВНАЯ ПОДГОТОВКА В УЧРЕЖДЕНИЯХ ВИЛЕНСКОГО УЧЕБНОГО ОКРУГА КОНЦА XIX ‒ НАЧАЛА XX В. В СВЕТЕ АРХИВНЫХ ДОКУМЕНТОВ // Труды БГТУ. Серия 6: История, философия. 2024.</w:t>
      </w:r>
    </w:p>
    <w:p>
      <w:pPr>
        <w:numPr>
          <w:ilvl w:val="0"/>
          <w:numId w:val="1003"/>
        </w:numPr>
        <w:pStyle w:val="Compact"/>
      </w:pPr>
      <w:r>
        <w:t xml:space="preserve">Наумов Д.И. ВОЕННО-ИСТОРИЧЕСКАЯ РЕКОНСТРУКЦИЯ КАК ИНСТРУМЕНТ ФОРМИРОВАНИЯ ИСТОРИЧЕСКОЙ ПАМЯТИ УЧАЩЕЙСЯ И СТУДЕНЧЕСКОЙ МОЛОДЕЖИ: ФИЛОСОФСКИЙ АСПЕКТ // Вестник Полоцкого государственного университета. Серия E. Педагогические науки. 2022.</w:t>
      </w:r>
    </w:p>
    <w:p>
      <w:pPr>
        <w:numPr>
          <w:ilvl w:val="0"/>
          <w:numId w:val="1003"/>
        </w:numPr>
        <w:pStyle w:val="Compact"/>
      </w:pPr>
      <w:r>
        <w:t xml:space="preserve">Дугин И.М. Особенности нравственного воспитания учащихся общеобразовательных учебных заведений военно-профессиональной направленности в странах ближнего зарубежья // Вестник Ленинградского государственного университета им. А. С. Пушкина. 2015.</w:t>
      </w:r>
    </w:p>
    <w:p>
      <w:pPr>
        <w:numPr>
          <w:ilvl w:val="0"/>
          <w:numId w:val="1003"/>
        </w:numPr>
        <w:pStyle w:val="Compact"/>
      </w:pPr>
      <w:r>
        <w:t xml:space="preserve">Круглов, В. В. Я расту! Я – Человек!». Диалоги о Ребёнке в пространстве воспитания и дополнительного образования детей : учебно-методическое пособие / В. В. Круглов, Л. И. Маленкова, В. П. Голованов. — Москва : Русайнс, 2026. — 197 с. — ISBN 978-5-466-09710-8.</w:t>
      </w:r>
    </w:p>
    <w:p>
      <w:pPr>
        <w:numPr>
          <w:ilvl w:val="0"/>
          <w:numId w:val="1003"/>
        </w:numPr>
        <w:pStyle w:val="Compact"/>
      </w:pPr>
      <w:r>
        <w:t xml:space="preserve">Климко М.К. ГРАЖДАНСКО-ПАТРИОТИЧЕСКОЕ ВОСПИТАНИЕ В УЧРЕЖДЕНИЯХ ВИЛЕНСКОГО УЧЕБНОГО ОКРУГА В 1870-Е – 1917 ГГ. В СВЕТЕ АРХИВНЫХ ДОКУМЕНТОВ // Вестник Брянского государственного университета. 2024.</w:t>
      </w:r>
    </w:p>
    <w:p>
      <w:pPr>
        <w:numPr>
          <w:ilvl w:val="0"/>
          <w:numId w:val="1003"/>
        </w:numPr>
        <w:pStyle w:val="Compact"/>
      </w:pPr>
      <w:r>
        <w:t xml:space="preserve">Образование и жизненный путь личности : монография / В. А. Артемьева, Е. Ю. Коржова, М. Я. Дворецкая [и др.]. ; под науч. ред. Е. Ю. Коржовой. — Москва : Русайнс, 2023. — 196 с. — ISBN 978-5-466-04480-5.</w:t>
      </w:r>
    </w:p>
    <w:p>
      <w:pPr>
        <w:numPr>
          <w:ilvl w:val="0"/>
          <w:numId w:val="1003"/>
        </w:numPr>
        <w:pStyle w:val="Compact"/>
      </w:pPr>
      <w:r>
        <w:t xml:space="preserve">Сергеев Н.М. ВОПРОСЫ ФОРМИРОВАНИЯ ЕДИНОГО ОБРАЗОВАТЕЛЬНОГО ПРОСТРАНСТВА СОЮЗНОГО ГОСУДАРСТВА // Постсоветский материк. 2024.</w:t>
      </w:r>
    </w:p>
    <w:p>
      <w:pPr>
        <w:numPr>
          <w:ilvl w:val="0"/>
          <w:numId w:val="1003"/>
        </w:numPr>
        <w:pStyle w:val="Compact"/>
      </w:pPr>
      <w:r>
        <w:t xml:space="preserve">Соколова, Л. В. Экономическое воспитание младших школьников : учебно-методическое пособие / Л. В. Соколова, А. В. Молчанова. — Москва : Русайнс, 2024. — 146 с. — ISBN 978-5-466-06955-6.</w:t>
      </w:r>
    </w:p>
    <w:bookmarkEnd w:id="30"/>
    <w:sectPr>
      <w:footerReference w:type="default" r:id="rId11"/>
      <w:pgSz w:w="11906" w:h="16838" w:orient="portrait"/>
      <w:pgMar w:top="1134" w:right="851" w:bottom="1134" w:left="1701" w:header="708" w:footer="708" w:gutter="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0.xml><?xml version="1.0" encoding="utf-8"?>
<w:ftr xmlns:w="http://schemas.openxmlformats.org/wordprocessingml/2006/main">
  <w:p>
    <w:pPr>
      <w:jc w:val="center"/>
      <w:ind w:left="0" w:right="0" w:firstLine="0"/>
    </w:pPr>
    <w:r>
      <w:t>Город, 2026</w:t>
    </w:r>
  </w:p>
</w:ftr>
</file>

<file path=word/footer1.xml><?xml version="1.0" encoding="utf-8"?>
<w:ftr xmlns:w="http://schemas.openxmlformats.org/wordprocessingml/2006/main">
  <w:p/>
</w:ftr>
</file>

<file path=word/footer2.xml><?xml version="1.0" encoding="utf-8"?>
<w:ftr xmlns:w="http://schemas.openxmlformats.org/wordprocessingml/2006/main" xmlns:r="http://schemas.openxmlformats.org/officeDocument/2006/relationships">
  <w:p>
    <w:pPr>
      <w:jc w:val="center"/>
      <w:ind w:left="0" w:right="0" w:firstLine="0"/>
    </w:pPr>
    <w:r>
      <w:rPr>
        <w:shd w:val="clear" w:color="auto" w:fill="FFFFFF"/>
      </w:rPr>
      <w:fldChar w:fldCharType="begin"/>
    </w:r>
    <w:r>
      <w:rPr>
        <w:shd w:val="clear" w:color="auto" w:fill="FFFFFF"/>
      </w:rPr>
      <w:instrText xml:space="preserve"> PAGE </w:instrText>
    </w:r>
    <w:r>
      <w:rPr>
        <w:shd w:val="clear" w:color="auto" w:fill="FFFFFF"/>
      </w:rPr>
      <w:fldChar w:fldCharType="separate"/>
    </w:r>
    <w:r>
      <w:rPr>
        <w:shd w:val="clear" w:color="auto" w:fill="FFFFFF"/>
      </w:rPr>
      <w:t>1</w:t>
    </w:r>
    <w:r>
      <w:rPr>
        <w:shd w:val="clear" w:color="auto" w:fill="FFFFFF"/>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updateFields w:val="true"/>
  <w:doNotShadeFormData/>
</w:settings>
</file>

<file path=word/styles.xml><?xml version="1.0" encoding="utf-8"?>
<w:styles xmlns:r="http://schemas.openxmlformats.org/officeDocument/2006/relationships" xmlns:w="http://schemas.openxmlformats.org/wordprocessingml/2006/main">
  <w:docDefaults>
    <w:rPrDefault>
      <w:rPr>
        <w:color w:val="000000"/>
        <w:rFonts w:ascii="Times New Roman" w:hAnsi="Times New Roman" w:cs="Times New Roman" w:eastAsia="Times New Roman"/>
        <w:sz w:val="28"/>
        <w:szCs w:val="28"/>
        <w:lang w:bidi="ar-SA" w:eastAsia="en-US" w:val="en-US"/>
      </w:rPr>
    </w:rPrDefault>
    <w:pPrDefault>
      <w:pPr>
        <w:jc w:val="both"/>
        <w:spacing w:line="360" w:lineRule="auto"/>
      </w:pPr>
    </w:pPrDefault>
  </w:docDefaults>
  <w:latentStyles w:count="276" w:defLockedState="0" w:defQFormat="0" w:defSemiHidden="0" w:defUIPriority="0" w:defUnhideWhenUsed="0"/>
  <w:style w:default="1" w:styleId="Normal" w:type="paragraph">
    <w:name w:val="Normal"/>
    <w:qFormat/>
    <w:pPr>
      <w:ind w:firstLine="709"/>
      <w:jc w:val="both"/>
      <w:spacing w:line="360" w:lineRule="auto"/>
    </w:pPr>
    <w:rPr>
      <w:color w:val="000000"/>
      <w:szCs w:val="28"/>
      <w:sz w:val="28"/>
      <w:rFonts w:ascii="Times New Roman" w:hAnsi="Times New Roman" w:cs="Times New Roman" w:eastAsia="Times New Roman"/>
    </w:rPr>
  </w:style>
  <w:style w:styleId="BodyText" w:type="paragraph">
    <w:name w:val="Body Text"/>
    <w:basedOn w:val="Normal"/>
    <w:link w:val="BodyTextChar"/>
    <w:pPr>
      <w:ind w:firstLine="709"/>
      <w:jc w:val="both"/>
      <w:spacing w:line="360" w:lineRule="auto"/>
    </w:pPr>
    <w:qFormat/>
    <w:rPr>
      <w:color w:val="000000"/>
      <w:szCs w:val="28"/>
      <w:sz w:val="28"/>
      <w:rFonts w:ascii="Times New Roman" w:hAnsi="Times New Roman" w:cs="Times New Roman" w:eastAsia="Times New Roman"/>
    </w:rPr>
  </w:style>
  <w:style w:customStyle="1" w:styleId="FirstParagraph" w:type="paragraph">
    <w:name w:val="First Paragraph"/>
    <w:basedOn w:val="BodyText"/>
    <w:next w:val="BodyText"/>
    <w:qFormat/>
    <w:pPr>
      <w:ind w:firstLine="709"/>
      <w:jc w:val="both"/>
      <w:spacing w:line="360" w:lineRule="auto"/>
    </w:pPr>
    <w:rPr>
      <w:color w:val="000000"/>
      <w:szCs w:val="28"/>
      <w:sz w:val="28"/>
      <w:rFonts w:ascii="Times New Roman" w:hAnsi="Times New Roman" w:cs="Times New Roman" w:eastAsia="Times New Roman"/>
    </w:rPr>
  </w:style>
  <w:style w:customStyle="1" w:styleId="Compact" w:type="paragraph">
    <w:name w:val="Compact"/>
    <w:basedOn w:val="BodyText"/>
    <w:qFormat/>
    <w:pPr>
      <w:ind w:firstLine="709"/>
      <w:jc w:val="both"/>
      <w:spacing w:line="360" w:lineRule="auto"/>
    </w:pPr>
    <w:rPr>
      <w:color w:val="000000"/>
      <w:szCs w:val="28"/>
      <w:sz w:val="28"/>
      <w:rFonts w:ascii="Times New Roman" w:hAnsi="Times New Roman" w:cs="Times New Roman" w:eastAsia="Times New Roman"/>
    </w:rPr>
  </w:style>
  <w:style w:styleId="Title" w:type="paragraph">
    <w:name w:val="Title"/>
    <w:basedOn w:val="Normal"/>
    <w:next w:val="BodyText"/>
    <w:qFormat/>
    <w:pPr>
      <w:ind w:firstLine="0"/>
      <w:keepNext/>
      <w:keepLines/>
      <w:spacing w:line="360" w:lineRule="auto" w:after="40"/>
      <w:jc w:val="center"/>
    </w:pPr>
    <w:rPr>
      <w:u w:val="none"/>
      <w:caps/>
      <w:rFonts w:ascii="Times New Roman" w:hAnsi="Times New Roman" w:cs="Times New Roman" w:eastAsia="Times New Roman"/>
      <w:b/>
      <w:bCs/>
      <w:color w:val="000000"/>
      <w:sz w:val="28"/>
      <w:szCs w:val="28"/>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ind w:firstLine="0"/>
      <w:jc w:val="center"/>
      <w:keepNext/>
      <w:keepLines/>
      <w:spacing w:line="360" w:lineRule="auto" w:after="50"/>
      <w:outlineLvl w:val="0"/>
    </w:pPr>
    <w:rPr>
      <w:u w:val="none"/>
      <w:caps/>
      <w:rFonts w:ascii="Times New Roman" w:hAnsi="Times New Roman" w:cs="Times New Roman" w:eastAsia="Times New Roman"/>
      <w:b/>
      <w:bCs/>
      <w:color w:val="000000"/>
      <w:sz w:val="28"/>
      <w:szCs w:val="28"/>
    </w:rPr>
  </w:style>
  <w:style w:styleId="Heading2" w:type="paragraph">
    <w:name w:val="Heading 2"/>
    <w:basedOn w:val="Normal"/>
    <w:next w:val="BodyText"/>
    <w:uiPriority w:val="9"/>
    <w:unhideWhenUsed/>
    <w:qFormat/>
    <w:pPr>
      <w:ind w:firstLine="709"/>
      <w:jc w:val="left"/>
      <w:keepNext/>
      <w:keepLines/>
      <w:spacing w:line="360" w:lineRule="auto" w:after="40"/>
      <w:outlineLvl w:val="1"/>
    </w:pPr>
    <w:rPr>
      <w:u w:val="none"/>
      <w:caps w:val="0"/>
      <w:smallCaps w:val="0"/>
      <w:rFonts w:ascii="Times New Roman" w:hAnsi="Times New Roman" w:cs="Times New Roman" w:eastAsia="Times New Roman"/>
      <w:b/>
      <w:bCs/>
      <w:color w:val="000000"/>
      <w:sz w:val="28"/>
      <w:szCs w:val="28"/>
    </w:rPr>
  </w:style>
  <w:style w:styleId="Heading3" w:type="paragraph">
    <w:name w:val="Heading 3"/>
    <w:basedOn w:val="Normal"/>
    <w:next w:val="BodyText"/>
    <w:uiPriority w:val="9"/>
    <w:unhideWhenUsed/>
    <w:qFormat/>
    <w:pPr>
      <w:ind w:firstLine="709"/>
      <w:jc w:val="left"/>
      <w:keepNext/>
      <w:keepLines/>
      <w:spacing w:line="360" w:lineRule="auto" w:before="720" w:after="40"/>
      <w:outlineLvl w:val="2"/>
    </w:pPr>
    <w:rPr>
      <w:u w:val="none"/>
      <w:caps w:val="0"/>
      <w:smallCaps w:val="0"/>
      <w:rFonts w:ascii="Times New Roman" w:hAnsi="Times New Roman" w:cs="Times New Roman" w:eastAsia="Times New Roman"/>
      <w:b/>
      <w:bCs/>
      <w:color w:val="000000"/>
      <w:sz w:val="28"/>
      <w:szCs w:val="28"/>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footer" Target="footer0.xml"/><Relationship Id="rId10" Type="http://schemas.openxmlformats.org/officeDocument/2006/relationships/footer" Target="footer1.xml"/><Relationship Id="rId11" Type="http://schemas.openxmlformats.org/officeDocument/2006/relationships/footer" Target="footer2.xml"/></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2026-09-06T12:01:16Z</dcterms:created>
  <dcterms:modified xsi:type="dcterms:W3CDTF">2026-09-06T12:01:16Z</dcterms:modified>
</cp:coreProperties>
</file>

<file path=docProps/custom.xml><?xml version="1.0" encoding="utf-8"?>
<Properties xmlns="http://schemas.openxmlformats.org/officeDocument/2006/custom-properties" xmlns:vt="http://schemas.openxmlformats.org/officeDocument/2006/docPropsVTypes"/>
</file>