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Доклад</w:t>
      </w:r>
    </w:p>
    <w:p>
      <w:pPr>
        <w:jc w:val="center"/>
        <w:ind w:firstLine="0"/>
      </w:pPr>
      <w:r>
        <w:t>на тему</w:t>
      </w:r>
    </w:p>
    <w:p>
      <w:pPr>
        <w:jc w:val="center"/>
        <w:spacing w:before="240"/>
        <w:ind w:firstLine="0"/>
      </w:pPr>
      <w:r>
        <w:rPr>
          <w:b/>
          <w:sz w:val="28"/>
          <w:szCs w:val="28"/>
        </w:rPr>
        <w:t>ГОСУДАРСТВЕННЫЙ СТРОЙ СОВЕТСКОГО ГОСУДАРСТВА (ОКТЯБРЬ 1917 – 1918 ГГ.)</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Падение Временного правительства</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Образование СНК и ВЦИК</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3. Слом старого государственного аппарата</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5" w:history="1">
        <w:r>
          <w:rPr>
            <w:color w:val="000000"/>
            <w:u w:val="none"/>
            <w:rStyle w:val="Hyperlink"/>
          </w:rPr>
          <w:t>4. Создание советской судебной системы</w:t>
        </w:r>
      </w:hyperlink>
      <w:r>
        <w:tab/>
      </w:r>
      <w:r>
        <w:rPr>
          <w:shd w:val="clear" w:color="auto" w:fill="FFFFFF"/>
        </w:rPr>
        <w:fldChar w:fldCharType="begin"/>
      </w:r>
      <w:r>
        <w:rPr>
          <w:shd w:val="clear" w:color="auto" w:fill="FFFFFF"/>
        </w:rPr>
        <w:instrText xml:space="preserve"> PAGEREF sec-5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6" w:history="1">
        <w:r>
          <w:rPr>
            <w:color w:val="000000"/>
            <w:u w:val="none"/>
            <w:rStyle w:val="Hyperlink"/>
          </w:rPr>
          <w:t>5. Национализация промышленности и земли</w:t>
        </w:r>
      </w:hyperlink>
      <w:r>
        <w:tab/>
      </w:r>
      <w:r>
        <w:rPr>
          <w:shd w:val="clear" w:color="auto" w:fill="FFFFFF"/>
        </w:rPr>
        <w:fldChar w:fldCharType="begin"/>
      </w:r>
      <w:r>
        <w:rPr>
          <w:shd w:val="clear" w:color="auto" w:fill="FFFFFF"/>
        </w:rPr>
        <w:instrText xml:space="preserve"> PAGEREF sec-6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7" w:history="1">
        <w:r>
          <w:rPr>
            <w:color w:val="000000"/>
            <w:u w:val="none"/>
            <w:rStyle w:val="Hyperlink"/>
          </w:rPr>
          <w:t>6. Строительство Красной Армии</w:t>
        </w:r>
      </w:hyperlink>
      <w:r>
        <w:tab/>
      </w:r>
      <w:r>
        <w:rPr>
          <w:shd w:val="clear" w:color="auto" w:fill="FFFFFF"/>
        </w:rPr>
        <w:fldChar w:fldCharType="begin"/>
      </w:r>
      <w:r>
        <w:rPr>
          <w:shd w:val="clear" w:color="auto" w:fill="FFFFFF"/>
        </w:rPr>
        <w:instrText xml:space="preserve"> PAGEREF sec-7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8" w:history="1">
        <w:r>
          <w:rPr>
            <w:color w:val="000000"/>
            <w:u w:val="none"/>
            <w:rStyle w:val="Hyperlink"/>
          </w:rPr>
          <w:t>7. Конституция РСФСР 1918 года</w:t>
        </w:r>
      </w:hyperlink>
      <w:r>
        <w:tab/>
      </w:r>
      <w:r>
        <w:rPr>
          <w:shd w:val="clear" w:color="auto" w:fill="FFFFFF"/>
        </w:rPr>
        <w:fldChar w:fldCharType="begin"/>
      </w:r>
      <w:r>
        <w:rPr>
          <w:shd w:val="clear" w:color="auto" w:fill="FFFFFF"/>
        </w:rPr>
        <w:instrText xml:space="preserve"> PAGEREF sec-8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9" w:history="1">
        <w:r>
          <w:rPr>
            <w:color w:val="000000"/>
            <w:u w:val="none"/>
            <w:rStyle w:val="Hyperlink"/>
          </w:rPr>
          <w:t>8. Органы власти на местах</w:t>
        </w:r>
      </w:hyperlink>
      <w:r>
        <w:tab/>
      </w:r>
      <w:r>
        <w:rPr>
          <w:shd w:val="clear" w:color="auto" w:fill="FFFFFF"/>
        </w:rPr>
        <w:fldChar w:fldCharType="begin"/>
      </w:r>
      <w:r>
        <w:rPr>
          <w:shd w:val="clear" w:color="auto" w:fill="FFFFFF"/>
        </w:rPr>
        <w:instrText xml:space="preserve"> PAGEREF sec-9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10"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sec-10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9" w:name="sec-1"/>
    <w:p>
      <w:pPr>
        <w:spacing w:line="360" w:lineRule="auto" w:after="50" w:afterAutospacing="0" w:beforeAutospacing="0"/>
        <w:pStyle w:val="Heading1"/>
      </w:pPr>
      <w:r>
        <w:t xml:space="preserve">ВВЕДЕНИЕ</w:t>
      </w:r>
    </w:p>
    <w:p>
      <w:pPr>
        <w:pStyle w:val="FirstParagraph"/>
      </w:pPr>
      <w:r>
        <w:rPr>
          <w:bCs/>
          <w:b/>
        </w:rPr>
        <w:t xml:space="preserve">Актуальность темы</w:t>
      </w:r>
      <w:r>
        <w:t xml:space="preserve"> </w:t>
      </w:r>
      <w:r>
        <w:t xml:space="preserve">обуславливается тем, что период с октября 1917 года по конец 1918 года стал поворотным моментом в отечественной истории, определившим вектор развития страны на семь десятилетий вперед. Ломка прежних правовых устоев Российской империи и поспешное конструирование принципиально нового аппарата управления проходили в условиях жесточайшего социально-экономического и глубокого политического кризиса, затянувшейся Первой мировой и начавшейся Гражданской войны. Исследование первых шагов советской власти по созданию институтов управления позволяет глубже понять внутреннюю логику и специфику формирования тоталитарной государственной системы, механизмы взаимодействия новых органов власти и определяющую роль первых декретов новой власти в трансформации общества, что сохраняет высокую научно-теоретическую и практическую значимость в контексте изучения эволюции российской государственности.</w:t>
      </w:r>
    </w:p>
    <w:p>
      <w:pPr>
        <w:pStyle w:val="BodyText"/>
      </w:pPr>
      <w:r>
        <w:rPr>
          <w:bCs/>
          <w:b/>
        </w:rPr>
        <w:t xml:space="preserve">Целью работы</w:t>
      </w:r>
      <w:r>
        <w:t xml:space="preserve"> </w:t>
      </w:r>
      <w:r>
        <w:t xml:space="preserve">является комплексный историко-правовой анализ процесса формирования, развития и институционального закрепления государственного строя советского государства в период с октября 1917 года по декабрь 1918 года, а также выявление ключевых особенностей становления советского конституционализма в данный период.</w:t>
      </w:r>
    </w:p>
    <w:p>
      <w:pPr>
        <w:pStyle w:val="BodyText"/>
      </w:pPr>
      <w:r>
        <w:rPr>
          <w:bCs/>
          <w:b/>
        </w:rPr>
        <w:t xml:space="preserve">Задачи работы</w:t>
      </w:r>
      <w:r>
        <w:t xml:space="preserve"> </w:t>
      </w:r>
      <w:r>
        <w:t xml:space="preserve">включают в себя следующие аспекты: во-первых, проанализировать ликвидацию дореволюционных органов власти и создание основ советского аппарата управления; во-вторых, изучить структуру, компетенции и специфику деятельности высших институтов власти, таких как Всероссийский Центральный Исполнительный Комитет и Совет Народных Комиссаров; в-третьих, рассмотреть формирование местной системы Советов и судебных органов; в-четвертых, исследовать процесс разработки и основные положения первой советской Конституции РСФСР 1918 года, заложившей правовые основы советской республики.</w:t>
      </w:r>
    </w:p>
    <w:p>
      <w:pPr>
        <w:pStyle w:val="BodyText"/>
      </w:pPr>
      <w:r>
        <w:rPr>
          <w:bCs/>
          <w:b/>
        </w:rPr>
        <w:t xml:space="preserve">Объектом исследования</w:t>
      </w:r>
      <w:r>
        <w:t xml:space="preserve"> </w:t>
      </w:r>
      <w:r>
        <w:t xml:space="preserve">выступают общественные отношения, сложившиеся в процессе организации, функционирования и эволюции системы государственных органов и институтов советского государства в течение первого года его существования.</w:t>
      </w:r>
    </w:p>
    <w:p>
      <w:pPr>
        <w:pStyle w:val="BodyText"/>
      </w:pPr>
      <w:r>
        <w:rPr>
          <w:bCs/>
          <w:b/>
        </w:rPr>
        <w:t xml:space="preserve">Методы исследования</w:t>
      </w:r>
      <w:r>
        <w:t xml:space="preserve"> </w:t>
      </w:r>
      <w:r>
        <w:t xml:space="preserve">основываются на сочетании общенаучных подходов с историко-правовым и сравнительно-историческим методами анализа, примененными к широкому кругу исторических и литературных источников, включая первые декреты Всероссийских съездов Советов и ВЦИК, нормативно-правовые акты изучаемой эпохи, а также фундаментальные труды отечественных исследователей, что обеспечивает объективность выводимых заключений.</w:t>
      </w:r>
    </w:p>
    <w:p>
      <w:r>
        <w:br w:type="page"/>
      </w:r>
    </w:p>
    <w:bookmarkStart w:id="21" w:name="sec-2"/>
    <w:p>
      <w:pPr>
        <w:spacing w:line="360" w:lineRule="auto" w:after="40" w:afterAutospacing="0" w:beforeAutospacing="0"/>
        <w:pStyle w:val="Heading2"/>
      </w:pPr>
      <w:r>
        <w:t xml:space="preserve">1. Падение Временного правительства</w:t>
      </w:r>
    </w:p>
    <w:p>
      <w:pPr>
        <w:pStyle w:val="FirstParagraph"/>
      </w:pPr>
      <w:r>
        <w:t xml:space="preserve">Падение Временного правительства в октябре 1917 года стало закономерным результатом глубокого системного кризиса российской государственности, обострившегося в условиях продолжающейся Первой мировой войны и неспособности коалиционных кабинетов решить ключевые вопросы революции — о мире и о земле [3]. К осени 1917 года авторитет буржуазно-демократической власти был практически полностью подорван. Подавление выступления генерала Л. Г. Корнилова в августе продемонстрировало как бессилие официального аппарата, так и стремительный рост влияния радикальных сил во главе с РСДРП(б). Начался процесс форсированной «большевизации» ключевых Советов рабочих и солдатских депутатов, прежде всего Петроградского и Московского. Большевики умело трансформировали лозунг «Вся власть Советам!», изначально предполагавший мирный переход власти к эсеро-меньшевистскому большинству, в призыв к свержению правительства путем вооруженного восстания.</w:t>
      </w:r>
    </w:p>
    <w:p>
      <w:pPr>
        <w:pStyle w:val="BodyText"/>
      </w:pPr>
      <w:r>
        <w:t xml:space="preserve">Крах легитимности кабинета министров развивался через череду острых правительственных кризисов, отраженных в следующей таблице:</w:t>
      </w:r>
    </w:p>
    <w:p>
      <w:pPr>
        <w:jc w:val="left"/>
        <w:ind w:firstLine="0"/>
        <w:spacing w:after="120"/>
      </w:pPr>
      <w:r>
        <w:rPr>
          <w:b/>
        </w:rPr>
        <w:t>Таблица 1 – Основные правительственные кризисы Временного правительства в 1917 году</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Кризис</w:t>
            </w:r>
          </w:p>
        </w:tc>
        <w:tc>
          <w:tcPr>
            <w:vAlign w:val="center"/>
          </w:tcPr>
          <w:p>
            <w:pPr>
              <w:ind w:firstLine="0"/>
              <w:pStyle w:val="Compact"/>
              <w:jc w:val="center"/>
            </w:pPr>
            <w:r>
              <w:rPr>
                <w:b/>
                <w:bCs/>
                <w:sz w:val="24"/>
                <w:szCs w:val="24"/>
              </w:rPr>
              <w:t xml:space="preserve">Период</w:t>
            </w:r>
          </w:p>
        </w:tc>
        <w:tc>
          <w:tcPr>
            <w:vAlign w:val="center"/>
          </w:tcPr>
          <w:p>
            <w:pPr>
              <w:ind w:firstLine="0"/>
              <w:pStyle w:val="Compact"/>
              <w:jc w:val="center"/>
            </w:pPr>
            <w:r>
              <w:rPr>
                <w:b/>
                <w:bCs/>
                <w:sz w:val="24"/>
                <w:szCs w:val="24"/>
              </w:rPr>
              <w:t xml:space="preserve">Основная причина</w:t>
            </w:r>
          </w:p>
        </w:tc>
        <w:tc>
          <w:tcPr>
            <w:vAlign w:val="center"/>
          </w:tcPr>
          <w:p>
            <w:pPr>
              <w:ind w:firstLine="0"/>
              <w:pStyle w:val="Compact"/>
              <w:jc w:val="center"/>
            </w:pPr>
            <w:r>
              <w:rPr>
                <w:b/>
                <w:bCs/>
                <w:sz w:val="24"/>
                <w:szCs w:val="24"/>
              </w:rPr>
              <w:t xml:space="preserve">Итог кризиса</w:t>
            </w:r>
          </w:p>
        </w:tc>
      </w:tr>
      <w:tr>
        <w:tc>
          <w:tcPr>
            <w:vAlign w:val="center"/>
          </w:tcPr>
          <w:p>
            <w:pPr>
              <w:ind w:firstLine="0"/>
              <w:pStyle w:val="Compact"/>
              <w:jc w:val="center"/>
            </w:pPr>
            <w:r>
              <w:rPr>
                <w:sz w:val="24"/>
                <w:szCs w:val="24"/>
              </w:rPr>
              <w:t xml:space="preserve">Апрельский кризис</w:t>
            </w:r>
          </w:p>
        </w:tc>
        <w:tc>
          <w:tcPr>
            <w:vAlign w:val="center"/>
          </w:tcPr>
          <w:p>
            <w:pPr>
              <w:ind w:firstLine="0"/>
              <w:pStyle w:val="Compact"/>
              <w:jc w:val="center"/>
            </w:pPr>
            <w:r>
              <w:rPr>
                <w:sz w:val="24"/>
                <w:szCs w:val="24"/>
              </w:rPr>
              <w:t xml:space="preserve">Апрель 1917 г.</w:t>
            </w:r>
          </w:p>
        </w:tc>
        <w:tc>
          <w:tcPr>
            <w:vAlign w:val="center"/>
          </w:tcPr>
          <w:p>
            <w:pPr>
              <w:ind w:firstLine="0"/>
              <w:pStyle w:val="Compact"/>
              <w:jc w:val="center"/>
            </w:pPr>
            <w:r>
              <w:rPr>
                <w:sz w:val="24"/>
                <w:szCs w:val="24"/>
              </w:rPr>
              <w:t xml:space="preserve">Нота П. Н. Милюкова о войне до победного конца</w:t>
            </w:r>
          </w:p>
        </w:tc>
        <w:tc>
          <w:tcPr>
            <w:vAlign w:val="center"/>
          </w:tcPr>
          <w:p>
            <w:pPr>
              <w:ind w:firstLine="0"/>
              <w:pStyle w:val="Compact"/>
              <w:jc w:val="center"/>
            </w:pPr>
            <w:r>
              <w:rPr>
                <w:sz w:val="24"/>
                <w:szCs w:val="24"/>
              </w:rPr>
              <w:t xml:space="preserve">Отставка Милюкова и Гучкова, создание первого коалиционного правительства</w:t>
            </w:r>
          </w:p>
        </w:tc>
      </w:tr>
      <w:tr>
        <w:tc>
          <w:tcPr>
            <w:vAlign w:val="center"/>
          </w:tcPr>
          <w:p>
            <w:pPr>
              <w:ind w:firstLine="0"/>
              <w:pStyle w:val="Compact"/>
              <w:jc w:val="center"/>
            </w:pPr>
            <w:r>
              <w:rPr>
                <w:sz w:val="24"/>
                <w:szCs w:val="24"/>
              </w:rPr>
              <w:t xml:space="preserve">Июньский-июльский кризис</w:t>
            </w:r>
          </w:p>
        </w:tc>
        <w:tc>
          <w:tcPr>
            <w:vAlign w:val="center"/>
          </w:tcPr>
          <w:p>
            <w:pPr>
              <w:ind w:firstLine="0"/>
              <w:pStyle w:val="Compact"/>
              <w:jc w:val="center"/>
            </w:pPr>
            <w:r>
              <w:rPr>
                <w:sz w:val="24"/>
                <w:szCs w:val="24"/>
              </w:rPr>
              <w:t xml:space="preserve">Июнь - июль 1917 г.</w:t>
            </w:r>
          </w:p>
        </w:tc>
        <w:tc>
          <w:tcPr>
            <w:vAlign w:val="center"/>
          </w:tcPr>
          <w:p>
            <w:pPr>
              <w:ind w:firstLine="0"/>
              <w:pStyle w:val="Compact"/>
              <w:jc w:val="center"/>
            </w:pPr>
            <w:r>
              <w:rPr>
                <w:sz w:val="24"/>
                <w:szCs w:val="24"/>
              </w:rPr>
              <w:t xml:space="preserve">Провал наступления на фронте, вооруженные выступления в Петрограде</w:t>
            </w:r>
          </w:p>
        </w:tc>
        <w:tc>
          <w:tcPr>
            <w:vAlign w:val="center"/>
          </w:tcPr>
          <w:p>
            <w:pPr>
              <w:ind w:firstLine="0"/>
              <w:pStyle w:val="Compact"/>
              <w:jc w:val="center"/>
            </w:pPr>
            <w:r>
              <w:rPr>
                <w:sz w:val="24"/>
                <w:szCs w:val="24"/>
              </w:rPr>
              <w:t xml:space="preserve">Установление единоличной диктатуры А. Ф. Керенского, конец официального двоевластия</w:t>
            </w:r>
          </w:p>
        </w:tc>
      </w:tr>
      <w:tr>
        <w:tc>
          <w:tcPr>
            <w:vAlign w:val="center"/>
          </w:tcPr>
          <w:p>
            <w:pPr>
              <w:ind w:firstLine="0"/>
              <w:pStyle w:val="Compact"/>
              <w:jc w:val="center"/>
            </w:pPr>
            <w:r>
              <w:rPr>
                <w:sz w:val="24"/>
                <w:szCs w:val="24"/>
              </w:rPr>
              <w:t xml:space="preserve">Корниловское выступление</w:t>
            </w:r>
          </w:p>
        </w:tc>
        <w:tc>
          <w:tcPr>
            <w:vAlign w:val="center"/>
          </w:tcPr>
          <w:p>
            <w:pPr>
              <w:ind w:firstLine="0"/>
              <w:pStyle w:val="Compact"/>
              <w:jc w:val="center"/>
            </w:pPr>
            <w:r>
              <w:rPr>
                <w:sz w:val="24"/>
                <w:szCs w:val="24"/>
              </w:rPr>
              <w:t xml:space="preserve">Август 1917 г.</w:t>
            </w:r>
          </w:p>
        </w:tc>
        <w:tc>
          <w:tcPr>
            <w:vAlign w:val="center"/>
          </w:tcPr>
          <w:p>
            <w:pPr>
              <w:ind w:firstLine="0"/>
              <w:pStyle w:val="Compact"/>
              <w:jc w:val="center"/>
            </w:pPr>
            <w:r>
              <w:rPr>
                <w:sz w:val="24"/>
                <w:szCs w:val="24"/>
              </w:rPr>
              <w:t xml:space="preserve">Попытка Л. Г. Корнилова установить военную диктатуру</w:t>
            </w:r>
          </w:p>
        </w:tc>
        <w:tc>
          <w:tcPr>
            <w:vAlign w:val="center"/>
          </w:tcPr>
          <w:p>
            <w:pPr>
              <w:ind w:firstLine="0"/>
              <w:pStyle w:val="Compact"/>
              <w:jc w:val="center"/>
            </w:pPr>
            <w:r>
              <w:rPr>
                <w:sz w:val="24"/>
                <w:szCs w:val="24"/>
              </w:rPr>
              <w:t xml:space="preserve">Рост авторитета большевиков, массовое вооружение рабочих, «большевизация» Советов</w:t>
            </w:r>
          </w:p>
        </w:tc>
      </w:tr>
    </w:tbl>
    <w:p>
      <w:pPr>
        <w:pStyle w:val="BodyText"/>
      </w:pPr>
      <w:r>
        <w:t xml:space="preserve">Непосредственным центром подготовки переворота стал Военно-революционный комитет (ВРК), созданный 12 октября 1917 года при Петроградском совете под руководством Л. Д. Троцкого. ВРК действовал под легальным прикрытием обороны столицы от возможного немецкого наступления и защиты предстоящего II Всероссийского съезда Советов от «контрреволюционных посягательств». Опираясь на отряды Красной гвардии, солдат Петроградского гарнизона и матросов Балтийского флота, Комитет к вечеру 24 октября установил эффективный контроль над стратегическими объектами столицы — мостами, телеграфом, электростанциями и государственным банком. Временное правительство оказалось изолированным в Зимнем дворце и лишенным надежной военной поддержки.</w:t>
      </w:r>
    </w:p>
    <w:p>
      <w:pPr>
        <w:pStyle w:val="BodyText"/>
      </w:pPr>
      <w:r>
        <w:t xml:space="preserve">В ночь с 25 на 26 октября 1917 года силы ВРК осуществили захват Зимнего дворца. Председатель Временного правительства А. Ф. Керенский покинул город в попытке привлечь фронтовые части, а оставшиеся члены кабинета министров были арестованы. Одновременно в Смольном начал работу II Всероссийский съезд Советов рабочих и солдатских депутатов. Протестуя против вооруженного переворота, съезд покинули представители правых эсеров и меньшевиков, что избавило большевиков от необходимости идти на политические компромиссы. Оставшийся союз большевиков и левых эсеров законодательно закрепил ликвидацию прежней системы управления. В обращении «Рабочим, солдатам и крестьянам!» съезд провозгласил переход всей полноты власти на местах к Советам.</w:t>
      </w:r>
    </w:p>
    <w:p>
      <w:pPr>
        <w:pStyle w:val="BodyText"/>
      </w:pPr>
      <w:r>
        <w:t xml:space="preserve">Слом Временного правительства означал окончательный крах буржуазно-демократической модели развития России, заложенной Февральской революцией. На смену неустойчивому двоевластию пришла диктатура пролетариата, институциональным оформлением которой стали первые советские декреты [18]. Ликвидация министерств и создание принципиально новых, подконтрольных ВЦИК и съезду органов, таких как Совет народных комиссаров [4], ознаменовали начало формирования новой правовой реальности, в которой принцип непрерывности государственной власти уступал место революционной целесообразности и коренной ломке традиционных государственно-правовых институтов.</w:t>
      </w:r>
    </w:p>
    <w:p>
      <w:r>
        <w:br w:type="page"/>
      </w:r>
    </w:p>
    <w:bookmarkEnd w:id="21"/>
    <w:bookmarkStart w:id="22" w:name="sec-3"/>
    <w:p>
      <w:pPr>
        <w:spacing w:line="360" w:lineRule="auto" w:after="40" w:afterAutospacing="0" w:beforeAutospacing="0"/>
        <w:pStyle w:val="Heading2"/>
      </w:pPr>
      <w:r>
        <w:t xml:space="preserve">2. Образование СНК и ВЦИК</w:t>
      </w:r>
    </w:p>
    <w:p>
      <w:pPr>
        <w:pStyle w:val="FirstParagraph"/>
      </w:pPr>
      <w:r>
        <w:t xml:space="preserve">Формирование основ советской государственности неразрывно связано с решениями Второго Всероссийского съезда Советов рабочих и солдатских депутатов [3], состоявшегося 25–26 октября (7–8 ноября) 1917 года. На этом историческом съезде были не только приняты первые декреты о мире и о земле, но и заложен фундамент новой системы высших органов государственной власти и управления [1]. Ключевыми элементами этой структуры стали Всероссийский Центральный Исполнительный Комитет (ВЦИК) и Совет Народных Комиссаров (СНК).</w:t>
      </w:r>
    </w:p>
    <w:p>
      <w:pPr>
        <w:pStyle w:val="BodyText"/>
      </w:pPr>
      <w:r>
        <w:t xml:space="preserve">ВЦИК конституировался как высший законодательный, распорядительный и контролирующий орган Российской Советской Республики в периоды между Всероссийскими съездами Советов. Первоначальный состав ВЦИК второго созыва отражал сложную политическую структуру революционных сил: из 101 его члена 62 являлись большевиками, 29 — левыми эсерами, а остальные представляли другие социалистические группировки. Возглавил ВЦИК первоначально Л. Б. Каменев, однако вскоре его сменил Я. М. Свердлов, под руководством которого этот орган превратился в мощный аппарат государственного строительства. Важнейшей функцией ВЦИК было формирование правительства, утверждение законопроектов и осуществление всеобъемлющего контроля над деятельностью исполнительной власти.</w:t>
      </w:r>
    </w:p>
    <w:p>
      <w:pPr>
        <w:pStyle w:val="BodyText"/>
      </w:pPr>
      <w:r>
        <w:t xml:space="preserve">Исполнительным органом нового государства стал Совет Народных Комиссаров (СНК) во главе с В. И. Лениным, провозглашенный Вторым съездом Советов как «Временное рабочее и крестьянское правительство». Название членов правительства — «народные комиссары» — символизировало радикальный разрыв со старым министерским чиновничеством. СНК был задуман как коллегиальный орган прямого революционного действия. В его состав вошли руководители важнейших отраслевых комитетов (народных комиссариатов). Изначально СНК состоял исключительно из большевиков, однако после острых дискуссий в ноябре-декабре 1917 года в состав правительства вошли представители партии левых эсеров, что сделало советский кабинет коалиционным до марта 1918 года, когда левые эсеры покинули СНК в знак протеста против заключения Брестского мира.</w:t>
      </w:r>
    </w:p>
    <w:p>
      <w:pPr>
        <w:pStyle w:val="BodyText"/>
      </w:pPr>
      <w:r>
        <w:t xml:space="preserve">Для наглядного сопоставления ключевых характеристик и функционала СНК и ВЦИК в рассматриваемый период ниже приведена обобщающая таблица.</w:t>
      </w:r>
    </w:p>
    <w:p>
      <w:pPr>
        <w:jc w:val="left"/>
        <w:ind w:firstLine="0"/>
        <w:spacing w:after="120"/>
      </w:pPr>
      <w:r>
        <w:rPr>
          <w:b/>
        </w:rPr>
        <w:t>Таблица 2 – Сравнительная характеристика ВЦИК и СНК</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584"/>
        <w:gridCol w:w="1584"/>
        <w:gridCol w:w="1584"/>
        <w:gridCol w:w="1584"/>
        <w:gridCol w:w="1584"/>
      </w:tblGrid>
      <w:tr>
        <w:trPr>
          <w:tblHeader w:val="true"/>
        </w:trPr>
        <w:tc>
          <w:tcPr>
            <w:vAlign w:val="center"/>
          </w:tcPr>
          <w:p>
            <w:pPr>
              <w:ind w:firstLine="0"/>
              <w:pStyle w:val="Compact"/>
              <w:jc w:val="center"/>
            </w:pPr>
            <w:r>
              <w:rPr>
                <w:b/>
                <w:bCs/>
                <w:sz w:val="24"/>
                <w:szCs w:val="24"/>
              </w:rPr>
              <w:t xml:space="preserve">Орган власти</w:t>
            </w:r>
          </w:p>
        </w:tc>
        <w:tc>
          <w:tcPr>
            <w:vAlign w:val="center"/>
          </w:tcPr>
          <w:p>
            <w:pPr>
              <w:ind w:firstLine="0"/>
              <w:pStyle w:val="Compact"/>
              <w:jc w:val="center"/>
            </w:pPr>
            <w:r>
              <w:rPr>
                <w:b/>
                <w:bCs/>
                <w:sz w:val="24"/>
                <w:szCs w:val="24"/>
              </w:rPr>
              <w:t xml:space="preserve">Официальный статус</w:t>
            </w:r>
          </w:p>
        </w:tc>
        <w:tc>
          <w:tcPr>
            <w:vAlign w:val="center"/>
          </w:tcPr>
          <w:p>
            <w:pPr>
              <w:ind w:firstLine="0"/>
              <w:pStyle w:val="Compact"/>
              <w:jc w:val="center"/>
            </w:pPr>
            <w:r>
              <w:rPr>
                <w:b/>
                <w:bCs/>
                <w:sz w:val="24"/>
                <w:szCs w:val="24"/>
              </w:rPr>
              <w:t xml:space="preserve">Руководитель</w:t>
            </w:r>
          </w:p>
        </w:tc>
        <w:tc>
          <w:tcPr>
            <w:vAlign w:val="center"/>
          </w:tcPr>
          <w:p>
            <w:pPr>
              <w:ind w:firstLine="0"/>
              <w:pStyle w:val="Compact"/>
              <w:jc w:val="center"/>
            </w:pPr>
            <w:r>
              <w:rPr>
                <w:b/>
                <w:bCs/>
                <w:sz w:val="24"/>
                <w:szCs w:val="24"/>
              </w:rPr>
              <w:t xml:space="preserve">Основные функции</w:t>
            </w:r>
          </w:p>
        </w:tc>
        <w:tc>
          <w:tcPr>
            <w:vAlign w:val="center"/>
          </w:tcPr>
          <w:p>
            <w:pPr>
              <w:ind w:firstLine="0"/>
              <w:pStyle w:val="Compact"/>
              <w:jc w:val="center"/>
            </w:pPr>
            <w:r>
              <w:rPr>
                <w:b/>
                <w:bCs/>
                <w:sz w:val="24"/>
                <w:szCs w:val="24"/>
              </w:rPr>
              <w:t xml:space="preserve">Партийный состав</w:t>
            </w:r>
          </w:p>
        </w:tc>
      </w:tr>
      <w:tr>
        <w:tc>
          <w:tcPr>
            <w:vAlign w:val="center"/>
          </w:tcPr>
          <w:p>
            <w:pPr>
              <w:ind w:firstLine="0"/>
              <w:pStyle w:val="Compact"/>
              <w:jc w:val="center"/>
            </w:pPr>
            <w:r>
              <w:rPr>
                <w:sz w:val="24"/>
                <w:szCs w:val="24"/>
              </w:rPr>
              <w:t xml:space="preserve">ВЦИК</w:t>
            </w:r>
          </w:p>
        </w:tc>
        <w:tc>
          <w:tcPr>
            <w:vAlign w:val="center"/>
          </w:tcPr>
          <w:p>
            <w:pPr>
              <w:ind w:firstLine="0"/>
              <w:pStyle w:val="Compact"/>
              <w:jc w:val="center"/>
            </w:pPr>
            <w:r>
              <w:rPr>
                <w:sz w:val="24"/>
                <w:szCs w:val="24"/>
              </w:rPr>
              <w:t xml:space="preserve">Высший орган власти между съездами</w:t>
            </w:r>
          </w:p>
        </w:tc>
        <w:tc>
          <w:tcPr>
            <w:vAlign w:val="center"/>
          </w:tcPr>
          <w:p>
            <w:pPr>
              <w:ind w:firstLine="0"/>
              <w:pStyle w:val="Compact"/>
              <w:jc w:val="center"/>
            </w:pPr>
            <w:r>
              <w:rPr>
                <w:sz w:val="24"/>
                <w:szCs w:val="24"/>
              </w:rPr>
              <w:t xml:space="preserve">Л.Б. Каменев, затем Я.М. Свердлов</w:t>
            </w:r>
          </w:p>
        </w:tc>
        <w:tc>
          <w:tcPr>
            <w:vAlign w:val="center"/>
          </w:tcPr>
          <w:p>
            <w:pPr>
              <w:ind w:firstLine="0"/>
              <w:pStyle w:val="Compact"/>
              <w:jc w:val="center"/>
            </w:pPr>
            <w:r>
              <w:rPr>
                <w:sz w:val="24"/>
                <w:szCs w:val="24"/>
              </w:rPr>
              <w:t xml:space="preserve">Законодательство, контроль правительства, утверждение декретов</w:t>
            </w:r>
          </w:p>
        </w:tc>
        <w:tc>
          <w:tcPr>
            <w:vAlign w:val="center"/>
          </w:tcPr>
          <w:p>
            <w:pPr>
              <w:ind w:firstLine="0"/>
              <w:pStyle w:val="Compact"/>
              <w:jc w:val="center"/>
            </w:pPr>
            <w:r>
              <w:rPr>
                <w:sz w:val="24"/>
                <w:szCs w:val="24"/>
              </w:rPr>
              <w:t xml:space="preserve">Многопартийный (большевики, левые эсеры, анархисты)</w:t>
            </w:r>
          </w:p>
        </w:tc>
      </w:tr>
      <w:tr>
        <w:tc>
          <w:tcPr>
            <w:vAlign w:val="center"/>
          </w:tcPr>
          <w:p>
            <w:pPr>
              <w:ind w:firstLine="0"/>
              <w:pStyle w:val="Compact"/>
              <w:jc w:val="center"/>
            </w:pPr>
            <w:r>
              <w:rPr>
                <w:sz w:val="24"/>
                <w:szCs w:val="24"/>
              </w:rPr>
              <w:t xml:space="preserve">СНК</w:t>
            </w:r>
          </w:p>
        </w:tc>
        <w:tc>
          <w:tcPr>
            <w:vAlign w:val="center"/>
          </w:tcPr>
          <w:p>
            <w:pPr>
              <w:ind w:firstLine="0"/>
              <w:pStyle w:val="Compact"/>
              <w:jc w:val="center"/>
            </w:pPr>
            <w:r>
              <w:rPr>
                <w:sz w:val="24"/>
                <w:szCs w:val="24"/>
              </w:rPr>
              <w:t xml:space="preserve">Временное рабочее и крестьянское правительство</w:t>
            </w:r>
          </w:p>
        </w:tc>
        <w:tc>
          <w:tcPr>
            <w:vAlign w:val="center"/>
          </w:tcPr>
          <w:p>
            <w:pPr>
              <w:ind w:firstLine="0"/>
              <w:pStyle w:val="Compact"/>
              <w:jc w:val="center"/>
            </w:pPr>
            <w:r>
              <w:rPr>
                <w:sz w:val="24"/>
                <w:szCs w:val="24"/>
              </w:rPr>
              <w:t xml:space="preserve">В.И. Ленин</w:t>
            </w:r>
          </w:p>
        </w:tc>
        <w:tc>
          <w:tcPr>
            <w:vAlign w:val="center"/>
          </w:tcPr>
          <w:p>
            <w:pPr>
              <w:ind w:firstLine="0"/>
              <w:pStyle w:val="Compact"/>
              <w:jc w:val="center"/>
            </w:pPr>
            <w:r>
              <w:rPr>
                <w:sz w:val="24"/>
                <w:szCs w:val="24"/>
              </w:rPr>
              <w:t xml:space="preserve">Исполнительно-распорядительные функции, государственное управление</w:t>
            </w:r>
          </w:p>
        </w:tc>
        <w:tc>
          <w:tcPr>
            <w:vAlign w:val="center"/>
          </w:tcPr>
          <w:p>
            <w:pPr>
              <w:ind w:firstLine="0"/>
              <w:pStyle w:val="Compact"/>
              <w:jc w:val="center"/>
            </w:pPr>
            <w:r>
              <w:rPr>
                <w:sz w:val="24"/>
                <w:szCs w:val="24"/>
              </w:rPr>
              <w:t xml:space="preserve">Однопартийный (большевики), с дек. 1917 по март 1918 г. коалиционный</w:t>
            </w:r>
          </w:p>
        </w:tc>
      </w:tr>
    </w:tbl>
    <w:p>
      <w:pPr>
        <w:pStyle w:val="BodyText"/>
      </w:pPr>
      <w:r>
        <w:t xml:space="preserve">Спецификой советского государственного строительства стало сознательное отрицание буржуазного принципа разделения властей. Напротив, в деятельности СНК и ВЦИК проявился принцип единства и слияния законодательной и исполнительной власти [14]. СНК фактически сразу получил право издавать декреты, имеющие силу закона [18], что создавало условия для дублирования функций и приводило к юридическому доминированию правительства над представительным органом (ВЦИК). Хотя декретом «Об учреждении Совета Народных Комиссаров» предусматривался строгий контроль ВЦИК над деятельностью правительства и право ВЦИК отменять любые решения СНК, динамика революционного времени требовала незамедлительных решений. В результате большинство важнейших актов принимались СНК единолично и лишь постфактум утверждались ВЦИК, который постепенно превращался в орган легитимации правительственных инициатив. Таким образом, в период с октября 1917 по конец 1918 года сложилась жесткая вертикаль исполнительной власти, где реальные властные полномочия концентрировались в СНК при непосредственном политическом руководстве партии большевиков, что предопределило контуры будущей советской государственности.</w:t>
      </w:r>
    </w:p>
    <w:p>
      <w:r>
        <w:br w:type="page"/>
      </w:r>
    </w:p>
    <w:bookmarkEnd w:id="22"/>
    <w:bookmarkStart w:id="23" w:name="sec-4"/>
    <w:p>
      <w:pPr>
        <w:spacing w:line="360" w:lineRule="auto" w:after="40" w:afterAutospacing="0" w:beforeAutospacing="0"/>
        <w:pStyle w:val="Heading2"/>
      </w:pPr>
      <w:r>
        <w:t xml:space="preserve">3. Слом старого государственного аппарата</w:t>
      </w:r>
    </w:p>
    <w:p>
      <w:pPr>
        <w:pStyle w:val="FirstParagraph"/>
      </w:pPr>
      <w:r>
        <w:t xml:space="preserve">Слом дореволюционного государственного аппарата стал важнейшей предпосылкой и необходимым условием утверждения советского политического режима в России [1]. Теоретической основой этой политики послужила марксистская концепция о неизбежности разрушения буржуазной государственной машины и замене её диктатурой пролетариата, детально разработанная В. И. Лениным. Согласно этой доктрине, пролетарская революция не могла просто овладеть готовым аппаратом, поскольку его старые бюрократические, полицейские и судебные структуры по своей природе были чужды трудящимся. Советское руководство допускало временное сохранение вспомогательных хозяйственных ведомств (банков, почты, телеграфа, транспорта), но ключевые политико-административные органы подлежали полной ликвидации.</w:t>
      </w:r>
    </w:p>
    <w:p>
      <w:pPr>
        <w:pStyle w:val="BodyText"/>
      </w:pPr>
      <w:r>
        <w:t xml:space="preserve">Первым шагом на этом пути стало низложение Временного правительства 25–26 октября 1917 года в ходе вооруженного восстания в Петрограде, а также роспуск Предпарламента (Совета Республики). Законодательные и исполнительные функции перешли ко второму Всероссийскому съезду Советов и избранным им ВЦИК и СНК.</w:t>
      </w:r>
    </w:p>
    <w:p>
      <w:pPr>
        <w:pStyle w:val="BodyText"/>
      </w:pPr>
      <w:r>
        <w:t xml:space="preserve">Ликвидация прежней государственности происходила одновременно по нескольким ключевым направлениям:</w:t>
      </w:r>
    </w:p>
    <w:p>
      <w:pPr>
        <w:numPr>
          <w:ilvl w:val="0"/>
          <w:numId w:val="1001"/>
        </w:numPr>
      </w:pPr>
      <w:r>
        <w:t xml:space="preserve">Реорганизация ведомственного управления. Прежние министерства прекратили свое существование. Чиновники дореволюционных ведомств ответили на приход большевиков к власти контрреволюционным саботажем (в частности, в МИД, министерствах финансов и Государственном банке). Для слома этого сопротивления новая власть применила меры принуждения силами Военно-революционных комитетов, а с декабря 1917 года — Всероссийской чрезвычайной комиссии (ВЧК) [6]. На месте саботирующих министерств были оперативно созданы народные комиссариаты (наркоматы), построенные на принципах коллегиальности и революционного контроля.</w:t>
      </w:r>
    </w:p>
    <w:p>
      <w:pPr>
        <w:numPr>
          <w:ilvl w:val="0"/>
          <w:numId w:val="1001"/>
        </w:numPr>
      </w:pPr>
      <w:r>
        <w:t xml:space="preserve">Упразднение сословного строя. Историческое значение имел Декрет ВЦИК и СНК от 11 ноября 1917 года «Об уничтожении сословий и гражданских чинов». Документ ликвидировал сословные привилегии, деления на дворянство, купечество, мещанство и крестьянство, а также отменял царские ордена, титулы и чины по Табели о рангах. Вводилось единое обозначение — гражданин Российской республики.</w:t>
      </w:r>
    </w:p>
    <w:p>
      <w:pPr>
        <w:numPr>
          <w:ilvl w:val="0"/>
          <w:numId w:val="1001"/>
        </w:numPr>
      </w:pPr>
      <w:r>
        <w:t xml:space="preserve">Ликвидация Учредительного собрания. Роспуск собрания 6 января 1918 года завершил борьбу советской власти против традиционной парламентской формы республики. Отказ собрания утвердить «Декларацию прав трудящегося и эксплуатируемого народа» послужил формальным основанием для декрета ВЦИК о его роспуске, зафиксировав верховенство советской системы.</w:t>
      </w:r>
    </w:p>
    <w:p>
      <w:pPr>
        <w:numPr>
          <w:ilvl w:val="0"/>
          <w:numId w:val="1001"/>
        </w:numPr>
      </w:pPr>
      <w:r>
        <w:t xml:space="preserve">Демонтаж старой судебной системы. Принятый 22 ноября 1917 года Декрет о суде № 1 упразднил Правительствующий сенат, судебные палаты, окружные суды, прокуратуру и адвокатуру. Традиционная юстиция повсеместно заменялась выборными народными судами и революционными трибуналами [20].</w:t>
      </w:r>
    </w:p>
    <w:p>
      <w:pPr>
        <w:numPr>
          <w:ilvl w:val="0"/>
          <w:numId w:val="1001"/>
        </w:numPr>
      </w:pPr>
      <w:r>
        <w:t xml:space="preserve">Упразднение органов местного самоуправления. С начала 1918 года и до лета того же года большевики проводили ликвидацию земских собраний и управ, а также городских дум. Функции самоуправления повсеместно переходили к исполнительным комитетам местных Советов рабочих и крестьянских депутатов.</w:t>
      </w:r>
    </w:p>
    <w:p>
      <w:pPr>
        <w:pStyle w:val="FirstParagraph"/>
      </w:pPr>
      <w:r>
        <w:t xml:space="preserve">Ниже приведены сопоставительные данные о трансформации высших и местных институтов управления в исследуемый период:</w:t>
      </w:r>
    </w:p>
    <w:p>
      <w:pPr>
        <w:jc w:val="left"/>
        <w:ind w:firstLine="0"/>
        <w:spacing w:after="120"/>
      </w:pPr>
      <w:r>
        <w:rPr>
          <w:b/>
        </w:rPr>
        <w:t>Таблица 3 – Трансформация институтов государственного управления в 1917–1918 годах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Прежний институт</w:t>
            </w:r>
          </w:p>
        </w:tc>
        <w:tc>
          <w:tcPr>
            <w:vAlign w:val="center"/>
          </w:tcPr>
          <w:p>
            <w:pPr>
              <w:ind w:firstLine="0"/>
              <w:pStyle w:val="Compact"/>
              <w:jc w:val="center"/>
            </w:pPr>
            <w:r>
              <w:rPr>
                <w:b/>
                <w:bCs/>
                <w:sz w:val="24"/>
                <w:szCs w:val="24"/>
              </w:rPr>
              <w:t xml:space="preserve">Сроки и формат ликвидации</w:t>
            </w:r>
          </w:p>
        </w:tc>
        <w:tc>
          <w:tcPr>
            <w:vAlign w:val="center"/>
          </w:tcPr>
          <w:p>
            <w:pPr>
              <w:ind w:firstLine="0"/>
              <w:pStyle w:val="Compact"/>
              <w:jc w:val="center"/>
            </w:pPr>
            <w:r>
              <w:rPr>
                <w:b/>
                <w:bCs/>
                <w:sz w:val="24"/>
                <w:szCs w:val="24"/>
              </w:rPr>
              <w:t xml:space="preserve">Советский преемник</w:t>
            </w:r>
          </w:p>
        </w:tc>
        <w:tc>
          <w:tcPr>
            <w:vAlign w:val="center"/>
          </w:tcPr>
          <w:p>
            <w:pPr>
              <w:ind w:firstLine="0"/>
              <w:pStyle w:val="Compact"/>
              <w:jc w:val="center"/>
            </w:pPr>
            <w:r>
              <w:rPr>
                <w:b/>
                <w:bCs/>
                <w:sz w:val="24"/>
                <w:szCs w:val="24"/>
              </w:rPr>
              <w:t xml:space="preserve">Основная функция нового органа</w:t>
            </w:r>
          </w:p>
        </w:tc>
      </w:tr>
      <w:tr>
        <w:tc>
          <w:tcPr>
            <w:vAlign w:val="center"/>
          </w:tcPr>
          <w:p>
            <w:pPr>
              <w:ind w:firstLine="0"/>
              <w:pStyle w:val="Compact"/>
              <w:jc w:val="center"/>
            </w:pPr>
            <w:r>
              <w:rPr>
                <w:sz w:val="24"/>
                <w:szCs w:val="24"/>
              </w:rPr>
              <w:t xml:space="preserve">Временное правительство</w:t>
            </w:r>
          </w:p>
        </w:tc>
        <w:tc>
          <w:tcPr>
            <w:vAlign w:val="center"/>
          </w:tcPr>
          <w:p>
            <w:pPr>
              <w:ind w:firstLine="0"/>
              <w:pStyle w:val="Compact"/>
              <w:jc w:val="center"/>
            </w:pPr>
            <w:r>
              <w:rPr>
                <w:sz w:val="24"/>
                <w:szCs w:val="24"/>
              </w:rPr>
              <w:t xml:space="preserve">Свергнуто в октябре 1917 г.</w:t>
            </w:r>
          </w:p>
        </w:tc>
        <w:tc>
          <w:tcPr>
            <w:vAlign w:val="center"/>
          </w:tcPr>
          <w:p>
            <w:pPr>
              <w:ind w:firstLine="0"/>
              <w:pStyle w:val="Compact"/>
              <w:jc w:val="center"/>
            </w:pPr>
            <w:r>
              <w:rPr>
                <w:sz w:val="24"/>
                <w:szCs w:val="24"/>
              </w:rPr>
              <w:t xml:space="preserve">Совет Народных Комиссаров</w:t>
            </w:r>
          </w:p>
        </w:tc>
        <w:tc>
          <w:tcPr>
            <w:vAlign w:val="center"/>
          </w:tcPr>
          <w:p>
            <w:pPr>
              <w:ind w:firstLine="0"/>
              <w:pStyle w:val="Compact"/>
              <w:jc w:val="center"/>
            </w:pPr>
            <w:r>
              <w:rPr>
                <w:sz w:val="24"/>
                <w:szCs w:val="24"/>
              </w:rPr>
              <w:t xml:space="preserve">Высший орган исполнительной власти</w:t>
            </w:r>
          </w:p>
        </w:tc>
      </w:tr>
      <w:tr>
        <w:tc>
          <w:tcPr>
            <w:vAlign w:val="center"/>
          </w:tcPr>
          <w:p>
            <w:pPr>
              <w:ind w:firstLine="0"/>
              <w:pStyle w:val="Compact"/>
              <w:jc w:val="center"/>
            </w:pPr>
            <w:r>
              <w:rPr>
                <w:sz w:val="24"/>
                <w:szCs w:val="24"/>
              </w:rPr>
              <w:t xml:space="preserve">Министерства</w:t>
            </w:r>
          </w:p>
        </w:tc>
        <w:tc>
          <w:tcPr>
            <w:vAlign w:val="center"/>
          </w:tcPr>
          <w:p>
            <w:pPr>
              <w:ind w:firstLine="0"/>
              <w:pStyle w:val="Compact"/>
              <w:jc w:val="center"/>
            </w:pPr>
            <w:r>
              <w:rPr>
                <w:sz w:val="24"/>
                <w:szCs w:val="24"/>
              </w:rPr>
              <w:t xml:space="preserve">Упразднены в октябре–декабре 1917 г.</w:t>
            </w:r>
          </w:p>
        </w:tc>
        <w:tc>
          <w:tcPr>
            <w:vAlign w:val="center"/>
          </w:tcPr>
          <w:p>
            <w:pPr>
              <w:ind w:firstLine="0"/>
              <w:pStyle w:val="Compact"/>
              <w:jc w:val="center"/>
            </w:pPr>
            <w:r>
              <w:rPr>
                <w:sz w:val="24"/>
                <w:szCs w:val="24"/>
              </w:rPr>
              <w:t xml:space="preserve">Народные комиссариаты</w:t>
            </w:r>
          </w:p>
        </w:tc>
        <w:tc>
          <w:tcPr>
            <w:vAlign w:val="center"/>
          </w:tcPr>
          <w:p>
            <w:pPr>
              <w:ind w:firstLine="0"/>
              <w:pStyle w:val="Compact"/>
              <w:jc w:val="center"/>
            </w:pPr>
            <w:r>
              <w:rPr>
                <w:sz w:val="24"/>
                <w:szCs w:val="24"/>
              </w:rPr>
              <w:t xml:space="preserve">Отраслевое государственное управление</w:t>
            </w:r>
          </w:p>
        </w:tc>
      </w:tr>
      <w:tr>
        <w:tc>
          <w:tcPr>
            <w:vAlign w:val="center"/>
          </w:tcPr>
          <w:p>
            <w:pPr>
              <w:ind w:firstLine="0"/>
              <w:pStyle w:val="Compact"/>
              <w:jc w:val="center"/>
            </w:pPr>
            <w:r>
              <w:rPr>
                <w:sz w:val="24"/>
                <w:szCs w:val="24"/>
              </w:rPr>
              <w:t xml:space="preserve">Правительствующий сенат</w:t>
            </w:r>
          </w:p>
        </w:tc>
        <w:tc>
          <w:tcPr>
            <w:vAlign w:val="center"/>
          </w:tcPr>
          <w:p>
            <w:pPr>
              <w:ind w:firstLine="0"/>
              <w:pStyle w:val="Compact"/>
              <w:jc w:val="center"/>
            </w:pPr>
            <w:r>
              <w:rPr>
                <w:sz w:val="24"/>
                <w:szCs w:val="24"/>
              </w:rPr>
              <w:t xml:space="preserve">Ликвидирован в ноябре 1917 г.</w:t>
            </w:r>
          </w:p>
        </w:tc>
        <w:tc>
          <w:tcPr>
            <w:vAlign w:val="center"/>
          </w:tcPr>
          <w:p>
            <w:pPr>
              <w:ind w:firstLine="0"/>
              <w:pStyle w:val="Compact"/>
              <w:jc w:val="center"/>
            </w:pPr>
            <w:r>
              <w:rPr>
                <w:sz w:val="24"/>
                <w:szCs w:val="24"/>
              </w:rPr>
              <w:t xml:space="preserve">Народные суды и трибуналы</w:t>
            </w:r>
          </w:p>
        </w:tc>
        <w:tc>
          <w:tcPr>
            <w:vAlign w:val="center"/>
          </w:tcPr>
          <w:p>
            <w:pPr>
              <w:ind w:firstLine="0"/>
              <w:pStyle w:val="Compact"/>
              <w:jc w:val="center"/>
            </w:pPr>
            <w:r>
              <w:rPr>
                <w:sz w:val="24"/>
                <w:szCs w:val="24"/>
              </w:rPr>
              <w:t xml:space="preserve">Отправление правосудия на местах</w:t>
            </w:r>
          </w:p>
        </w:tc>
      </w:tr>
      <w:tr>
        <w:tc>
          <w:tcPr>
            <w:vAlign w:val="center"/>
          </w:tcPr>
          <w:p>
            <w:pPr>
              <w:ind w:firstLine="0"/>
              <w:pStyle w:val="Compact"/>
              <w:jc w:val="center"/>
            </w:pPr>
            <w:r>
              <w:rPr>
                <w:sz w:val="24"/>
                <w:szCs w:val="24"/>
              </w:rPr>
              <w:t xml:space="preserve">Земства и городские думы</w:t>
            </w:r>
          </w:p>
        </w:tc>
        <w:tc>
          <w:tcPr>
            <w:vAlign w:val="center"/>
          </w:tcPr>
          <w:p>
            <w:pPr>
              <w:ind w:firstLine="0"/>
              <w:pStyle w:val="Compact"/>
              <w:jc w:val="center"/>
            </w:pPr>
            <w:r>
              <w:rPr>
                <w:sz w:val="24"/>
                <w:szCs w:val="24"/>
              </w:rPr>
              <w:t xml:space="preserve">Ликвидированы в первой половине 1918 г.</w:t>
            </w:r>
          </w:p>
        </w:tc>
        <w:tc>
          <w:tcPr>
            <w:vAlign w:val="center"/>
          </w:tcPr>
          <w:p>
            <w:pPr>
              <w:ind w:firstLine="0"/>
              <w:pStyle w:val="Compact"/>
              <w:jc w:val="center"/>
            </w:pPr>
            <w:r>
              <w:rPr>
                <w:sz w:val="24"/>
                <w:szCs w:val="24"/>
              </w:rPr>
              <w:t xml:space="preserve">Исполнительные комитеты Советов</w:t>
            </w:r>
          </w:p>
        </w:tc>
        <w:tc>
          <w:tcPr>
            <w:vAlign w:val="center"/>
          </w:tcPr>
          <w:p>
            <w:pPr>
              <w:ind w:firstLine="0"/>
              <w:pStyle w:val="Compact"/>
              <w:jc w:val="center"/>
            </w:pPr>
            <w:r>
              <w:rPr>
                <w:sz w:val="24"/>
                <w:szCs w:val="24"/>
              </w:rPr>
              <w:t xml:space="preserve">Местное хозяйственное управление</w:t>
            </w:r>
          </w:p>
        </w:tc>
      </w:tr>
    </w:tbl>
    <w:p>
      <w:pPr>
        <w:pStyle w:val="BodyText"/>
      </w:pPr>
      <w:r>
        <w:t xml:space="preserve">Таким образом, в течение конца 1917 и всего 1918 годов большевики последовательно демонтировали судебные, сословные, административные и представительские институты дореволюционной России. Этот процесс характеризовался переходом от принципов преемственности к жесткому уничтожению прежней государственной машины, что стало базой для создания однопартийного централизованного аппарата советского типа.</w:t>
      </w:r>
    </w:p>
    <w:p>
      <w:r>
        <w:br w:type="page"/>
      </w:r>
    </w:p>
    <w:bookmarkEnd w:id="23"/>
    <w:bookmarkStart w:id="24" w:name="sec-5"/>
    <w:p>
      <w:pPr>
        <w:spacing w:line="360" w:lineRule="auto" w:after="40" w:afterAutospacing="0" w:beforeAutospacing="0"/>
        <w:pStyle w:val="Heading2"/>
      </w:pPr>
      <w:r>
        <w:t xml:space="preserve">4. Создание советской судебной системы</w:t>
      </w:r>
    </w:p>
    <w:p>
      <w:pPr>
        <w:pStyle w:val="FirstParagraph"/>
      </w:pPr>
      <w:r>
        <w:t xml:space="preserve">Процесс институционального оформления советского государственного строя в период с октября 1917 по конец 1918 года сопровождался радикальным сломом всей дореволюционной системы властных учреждений. Одним из наиболее показательных направлений этой структурной ломки стало создание советской судебной системы [20], построенной на принципиально новых организационных и идеологических основах. Большевики исходили из ленинского постулата о необходимости полного уничтожения старой юстиции как инструмента классового господства буржуазии, полностью отвергая принцип преемственности права.</w:t>
      </w:r>
    </w:p>
    <w:p>
      <w:pPr>
        <w:pStyle w:val="BodyText"/>
      </w:pPr>
      <w:r>
        <w:t xml:space="preserve">Основой ликвидации прежней судебной машины и конструирования новых органов правосудия стала серия Декретов о суде [11]. Декрет о суде № 1, принятый СНК 22 ноября (5 декабря) 1917 года, разом упразднил Правительствующий сенат, судебные палаты, окружные, военные и коммерческие суды, а также ликвидировал прокуратуру, присяжную адвокатуру и институт судебных следователей. Взамен создавались местные народные суды и революционные трибуналы. Местные суды в составе постоянного судьи и двух очередных народных заседателей избирались местными Советами и рассматривали малозначительные дела. Революционные трибуналы создавались для беспощадной борьбы с контрреволюцией, мародерством, спекуляцией и саботажем, превратившись в репрессивный инструмент диктатуры пролетариата.</w:t>
      </w:r>
    </w:p>
    <w:p>
      <w:pPr>
        <w:pStyle w:val="BodyText"/>
      </w:pPr>
      <w:r>
        <w:t xml:space="preserve">Для преодоления стихийности в правосудии на местах и выстраивания иерархии инстанций советская власть издала Декреты о суде № 2 (февраль 1918 года) и № 3 (июль 1918 года), расширившие подсудность народных судов и учредившие окружные народные суды для разбора более сложных дел. Сравнительный анализ этих ключевых документов позволяет проследить этапы становления новой системы:</w:t>
      </w:r>
    </w:p>
    <w:p>
      <w:pPr>
        <w:jc w:val="left"/>
        <w:ind w:firstLine="0"/>
        <w:spacing w:after="120"/>
      </w:pPr>
      <w:r>
        <w:rPr>
          <w:b/>
        </w:rPr>
        <w:t>Таблица 4 – Основные этапы формирования советской судебной системы</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Нормативный акт</w:t>
            </w:r>
          </w:p>
        </w:tc>
        <w:tc>
          <w:tcPr>
            <w:vAlign w:val="center"/>
          </w:tcPr>
          <w:p>
            <w:pPr>
              <w:ind w:firstLine="0"/>
              <w:pStyle w:val="Compact"/>
              <w:jc w:val="center"/>
            </w:pPr>
            <w:r>
              <w:rPr>
                <w:b/>
                <w:bCs/>
                <w:sz w:val="24"/>
                <w:szCs w:val="24"/>
              </w:rPr>
              <w:t xml:space="preserve">Основные судебные органы</w:t>
            </w:r>
          </w:p>
        </w:tc>
        <w:tc>
          <w:tcPr>
            <w:vAlign w:val="center"/>
          </w:tcPr>
          <w:p>
            <w:pPr>
              <w:ind w:firstLine="0"/>
              <w:pStyle w:val="Compact"/>
              <w:jc w:val="center"/>
            </w:pPr>
            <w:r>
              <w:rPr>
                <w:b/>
                <w:bCs/>
                <w:sz w:val="24"/>
                <w:szCs w:val="24"/>
              </w:rPr>
              <w:t xml:space="preserve">Кассационная инстанция</w:t>
            </w:r>
          </w:p>
        </w:tc>
        <w:tc>
          <w:tcPr>
            <w:vAlign w:val="center"/>
          </w:tcPr>
          <w:p>
            <w:pPr>
              <w:ind w:firstLine="0"/>
              <w:pStyle w:val="Compact"/>
              <w:jc w:val="center"/>
            </w:pPr>
            <w:r>
              <w:rPr>
                <w:b/>
                <w:bCs/>
                <w:sz w:val="24"/>
                <w:szCs w:val="24"/>
              </w:rPr>
              <w:t xml:space="preserve">Источники применяемого права</w:t>
            </w:r>
          </w:p>
        </w:tc>
      </w:tr>
      <w:tr>
        <w:tc>
          <w:tcPr>
            <w:vAlign w:val="center"/>
          </w:tcPr>
          <w:p>
            <w:pPr>
              <w:ind w:firstLine="0"/>
              <w:pStyle w:val="Compact"/>
              <w:jc w:val="center"/>
            </w:pPr>
            <w:r>
              <w:rPr>
                <w:sz w:val="24"/>
                <w:szCs w:val="24"/>
              </w:rPr>
              <w:t xml:space="preserve">Декрет о суде № 1 (1917 г.)</w:t>
            </w:r>
          </w:p>
        </w:tc>
        <w:tc>
          <w:tcPr>
            <w:vAlign w:val="center"/>
          </w:tcPr>
          <w:p>
            <w:pPr>
              <w:ind w:firstLine="0"/>
              <w:pStyle w:val="Compact"/>
              <w:jc w:val="center"/>
            </w:pPr>
            <w:r>
              <w:rPr>
                <w:sz w:val="24"/>
                <w:szCs w:val="24"/>
              </w:rPr>
              <w:t xml:space="preserve">Местные суды, революционные трибуналы</w:t>
            </w:r>
          </w:p>
        </w:tc>
        <w:tc>
          <w:tcPr>
            <w:vAlign w:val="center"/>
          </w:tcPr>
          <w:p>
            <w:pPr>
              <w:ind w:firstLine="0"/>
              <w:pStyle w:val="Compact"/>
              <w:jc w:val="center"/>
            </w:pPr>
            <w:r>
              <w:rPr>
                <w:sz w:val="24"/>
                <w:szCs w:val="24"/>
              </w:rPr>
              <w:t xml:space="preserve">Уездные и столичные съезды местных судей</w:t>
            </w:r>
          </w:p>
        </w:tc>
        <w:tc>
          <w:tcPr>
            <w:vAlign w:val="center"/>
          </w:tcPr>
          <w:p>
            <w:pPr>
              <w:ind w:firstLine="0"/>
              <w:pStyle w:val="Compact"/>
              <w:jc w:val="center"/>
            </w:pPr>
            <w:r>
              <w:rPr>
                <w:sz w:val="24"/>
                <w:szCs w:val="24"/>
              </w:rPr>
              <w:t xml:space="preserve">Декреты СНК и ВЦИК, старые законы (при непротиворечии революционной совести)</w:t>
            </w:r>
          </w:p>
        </w:tc>
      </w:tr>
      <w:tr>
        <w:tc>
          <w:tcPr>
            <w:vAlign w:val="center"/>
          </w:tcPr>
          <w:p>
            <w:pPr>
              <w:ind w:firstLine="0"/>
              <w:pStyle w:val="Compact"/>
              <w:jc w:val="center"/>
            </w:pPr>
            <w:r>
              <w:rPr>
                <w:sz w:val="24"/>
                <w:szCs w:val="24"/>
              </w:rPr>
              <w:t xml:space="preserve">Декрет о суде № 2 (1918 г.)</w:t>
            </w:r>
          </w:p>
        </w:tc>
        <w:tc>
          <w:tcPr>
            <w:vAlign w:val="center"/>
          </w:tcPr>
          <w:p>
            <w:pPr>
              <w:ind w:firstLine="0"/>
              <w:pStyle w:val="Compact"/>
              <w:jc w:val="center"/>
            </w:pPr>
            <w:r>
              <w:rPr>
                <w:sz w:val="24"/>
                <w:szCs w:val="24"/>
              </w:rPr>
              <w:t xml:space="preserve">Окружные и местные народные суды</w:t>
            </w:r>
          </w:p>
        </w:tc>
        <w:tc>
          <w:tcPr>
            <w:vAlign w:val="center"/>
          </w:tcPr>
          <w:p>
            <w:pPr>
              <w:ind w:firstLine="0"/>
              <w:pStyle w:val="Compact"/>
              <w:jc w:val="center"/>
            </w:pPr>
            <w:r>
              <w:rPr>
                <w:sz w:val="24"/>
                <w:szCs w:val="24"/>
              </w:rPr>
              <w:t xml:space="preserve">Областные народные суды, Верховный судебный контроль</w:t>
            </w:r>
          </w:p>
        </w:tc>
        <w:tc>
          <w:tcPr>
            <w:vAlign w:val="center"/>
          </w:tcPr>
          <w:p>
            <w:pPr>
              <w:ind w:firstLine="0"/>
              <w:pStyle w:val="Compact"/>
              <w:jc w:val="center"/>
            </w:pPr>
            <w:r>
              <w:rPr>
                <w:sz w:val="24"/>
                <w:szCs w:val="24"/>
              </w:rPr>
              <w:t xml:space="preserve">Советские декреты, старое законодательство (если оно прямо не отменено)</w:t>
            </w:r>
          </w:p>
        </w:tc>
      </w:tr>
      <w:tr>
        <w:tc>
          <w:tcPr>
            <w:vAlign w:val="center"/>
          </w:tcPr>
          <w:p>
            <w:pPr>
              <w:ind w:firstLine="0"/>
              <w:pStyle w:val="Compact"/>
              <w:jc w:val="center"/>
            </w:pPr>
            <w:r>
              <w:rPr>
                <w:sz w:val="24"/>
                <w:szCs w:val="24"/>
              </w:rPr>
              <w:t xml:space="preserve">Декрет о суде № 3 (1918 г.)</w:t>
            </w:r>
          </w:p>
        </w:tc>
        <w:tc>
          <w:tcPr>
            <w:vAlign w:val="center"/>
          </w:tcPr>
          <w:p>
            <w:pPr>
              <w:ind w:firstLine="0"/>
              <w:pStyle w:val="Compact"/>
              <w:jc w:val="center"/>
            </w:pPr>
            <w:r>
              <w:rPr>
                <w:sz w:val="24"/>
                <w:szCs w:val="24"/>
              </w:rPr>
              <w:t xml:space="preserve">Окружные и местные народные суды</w:t>
            </w:r>
          </w:p>
        </w:tc>
        <w:tc>
          <w:tcPr>
            <w:vAlign w:val="center"/>
          </w:tcPr>
          <w:p>
            <w:pPr>
              <w:ind w:firstLine="0"/>
              <w:pStyle w:val="Compact"/>
              <w:jc w:val="center"/>
            </w:pPr>
            <w:r>
              <w:rPr>
                <w:sz w:val="24"/>
                <w:szCs w:val="24"/>
              </w:rPr>
              <w:t xml:space="preserve">Советы местных судей, Единый кассационный суд (Москва)</w:t>
            </w:r>
          </w:p>
        </w:tc>
        <w:tc>
          <w:tcPr>
            <w:vAlign w:val="center"/>
          </w:tcPr>
          <w:p>
            <w:pPr>
              <w:ind w:firstLine="0"/>
              <w:pStyle w:val="Compact"/>
              <w:jc w:val="center"/>
            </w:pPr>
            <w:r>
              <w:rPr>
                <w:sz w:val="24"/>
                <w:szCs w:val="24"/>
              </w:rPr>
              <w:t xml:space="preserve">Декреты РСФСР, социалистическая совесть судей</w:t>
            </w:r>
          </w:p>
        </w:tc>
      </w:tr>
      <w:tr>
        <w:tc>
          <w:tcPr>
            <w:vAlign w:val="center"/>
          </w:tcPr>
          <w:p>
            <w:pPr>
              <w:ind w:firstLine="0"/>
              <w:pStyle w:val="Compact"/>
              <w:jc w:val="center"/>
            </w:pPr>
            <w:r>
              <w:rPr>
                <w:sz w:val="24"/>
                <w:szCs w:val="24"/>
              </w:rPr>
              <w:t xml:space="preserve">Положение о народном суде (1918 г.)</w:t>
            </w:r>
          </w:p>
        </w:tc>
        <w:tc>
          <w:tcPr>
            <w:vAlign w:val="center"/>
          </w:tcPr>
          <w:p>
            <w:pPr>
              <w:ind w:firstLine="0"/>
              <w:pStyle w:val="Compact"/>
              <w:jc w:val="center"/>
            </w:pPr>
            <w:r>
              <w:rPr>
                <w:sz w:val="24"/>
                <w:szCs w:val="24"/>
              </w:rPr>
              <w:t xml:space="preserve">Единый народный суд РСФСР</w:t>
            </w:r>
          </w:p>
        </w:tc>
        <w:tc>
          <w:tcPr>
            <w:vAlign w:val="center"/>
          </w:tcPr>
          <w:p>
            <w:pPr>
              <w:ind w:firstLine="0"/>
              <w:pStyle w:val="Compact"/>
              <w:jc w:val="center"/>
            </w:pPr>
            <w:r>
              <w:rPr>
                <w:sz w:val="24"/>
                <w:szCs w:val="24"/>
              </w:rPr>
              <w:t xml:space="preserve">Губернский совет народных судей</w:t>
            </w:r>
          </w:p>
        </w:tc>
        <w:tc>
          <w:tcPr>
            <w:vAlign w:val="center"/>
          </w:tcPr>
          <w:p>
            <w:pPr>
              <w:ind w:firstLine="0"/>
              <w:pStyle w:val="Compact"/>
              <w:jc w:val="center"/>
            </w:pPr>
            <w:r>
              <w:rPr>
                <w:sz w:val="24"/>
                <w:szCs w:val="24"/>
              </w:rPr>
              <w:t xml:space="preserve">Исключительно советские законы (запрет ссылок на законы свергнутых правительств)</w:t>
            </w:r>
          </w:p>
        </w:tc>
      </w:tr>
    </w:tbl>
    <w:p>
      <w:pPr>
        <w:pStyle w:val="BodyText"/>
      </w:pPr>
      <w:r>
        <w:t xml:space="preserve">Логическим завершением первого этапа формирования советской юстиции стало утверждение ВЦИК 30 ноября 1918 года Положения о народном суде РСФСР [20]. Этот документ окончательно ликвидировал окружные суды, провозгласив создание Единого народного суда на территории всей республики. В зависимости от категории дел суды заседали в трех составах: единоличный судья, судья с двумя заседателями или судья с шестью заседателями. Функции кассационной инстанции отныне возлагались на Губернские советы народных судей.</w:t>
      </w:r>
    </w:p>
    <w:p>
      <w:pPr>
        <w:pStyle w:val="BodyText"/>
      </w:pPr>
      <w:r>
        <w:t xml:space="preserve">Важнейшей вехой Положения стала статья 22, примечание к которой полностью и безоговорочно запретило судам ссылаться при вынесении решений на законы «свергнутых правительств». Тем самым советская власть юридически завершила разрыв с дореволюционным наследием. Единственным легитимным источником права признавались декреты РСФСР, а при их отсутствии — социалистическое правосознание. Важная роль отводилась принципу широкого вовлечения трудящихся в отправление правосудия, поскольку народные заседатели обладали равными с постоянным судьей правами при оценке фактов и назначении меры наказания.</w:t>
      </w:r>
    </w:p>
    <w:p>
      <w:pPr>
        <w:pStyle w:val="BodyText"/>
      </w:pPr>
      <w:r>
        <w:t xml:space="preserve">Таким образом, в течение 1917–1918 годов в РСФСР произошел радикальный слом старой судебной машины и создание новой судебной системы [21], носящей выраженный классовый, партийно-политический характер. Двойственная структура юстиции — народные суды для повседневных гражданских и уголовных дел и революционные трибуналы для борьбы с политическими противниками — позволила большевикам эффективно использовать правосудие как инструмент защиты революционных завоеваний и укрепления диктатуры пролетариата в условиях разворачивающейся Гражданской войны.</w:t>
      </w:r>
    </w:p>
    <w:p>
      <w:r>
        <w:br w:type="page"/>
      </w:r>
    </w:p>
    <w:bookmarkEnd w:id="24"/>
    <w:bookmarkStart w:id="25" w:name="sec-6"/>
    <w:p>
      <w:pPr>
        <w:spacing w:line="360" w:lineRule="auto" w:after="40" w:afterAutospacing="0" w:beforeAutospacing="0"/>
        <w:pStyle w:val="Heading2"/>
      </w:pPr>
      <w:r>
        <w:t xml:space="preserve">5. Национализация промышленности и земли</w:t>
      </w:r>
    </w:p>
    <w:p>
      <w:pPr>
        <w:pStyle w:val="FirstParagraph"/>
      </w:pPr>
      <w:r>
        <w:t xml:space="preserve">Первые шаги советского государства по преобразованию социально-экономической структуры общества были неразрывно связаны с переходом ключевых экономических ресурсов под контроль новой власти. Огосударствление экономики преследовало не только идеологические цели большевиков, но и прагматичные задачи по стабилизации хозяйства в условиях глубокой разрухи, а также лишению прежних правящих классов их финансовой и материальной базы. Процесс национализации осуществлялся по двум главным направлениям: аграрному и индустриально-финансовому.</w:t>
      </w:r>
    </w:p>
    <w:p>
      <w:pPr>
        <w:pStyle w:val="BodyText"/>
      </w:pPr>
      <w:r>
        <w:t xml:space="preserve">Реформирование земельных отношений началось в первые часы советской власти с принятия II Всероссийским съездом Советов Декрета «О земле» от 26 октября (8 ноября) 1917 года [3]. Этот документ, базировавшийся на крестьянских наказах, ликвидировал помещичью собственность на землю без какого-либо выкупа. Вся земля — помещичья, удельная, монастырская и церковная со всеми постройками и инвентарем — переходила в распоряжение волостных земельных комитетов и уездных Советов крестьянских депутатов. Декрет провозгласил отмену частной собственности на землю, превратив её во всенародное достояние. Землепользование объявлялось уравнительным (по трудовой или потребительской норме), а применение наемного труда и аренда земли категорически запрещались. Логическим продолжением стал Закон «О социализации земли» от февраля 1918 года. Эти радикальные меры позволили большевикам привлечь на свою сторону широкие крестьянские массы, хотя и породили долгосрочные противоречия между государственной системой распределения и частными экономическими интересами мелких производителей.</w:t>
      </w:r>
    </w:p>
    <w:p>
      <w:pPr>
        <w:pStyle w:val="BodyText"/>
      </w:pPr>
      <w:r>
        <w:t xml:space="preserve">Национализация промышленного сектора проходила более сложно и поэтапно. Первоначально советская власть сделала ставку на концепцию рабочего контроля. Декрет о рабочем контроле от 14 (27) ноября 1917 года [20] вводил на всех промышленных, торговых и финансовых предприятиях надзор выборных рабочих органов (фабзавкомов). Фабрично-заводские комитеты получили широкие права по контролю производства, установлению минимума выработки и проверке финансовых книг владельцев. Поскольку фабриканты часто саботировали новые правила, а рабочие не обладали необходимым управленческим и техническим опытом, рабочий контроль дезорганизовал производство на местах. Это быстро вынудило государство перейти от надзора к прямой и тотальной экспроприации средств производства.</w:t>
      </w:r>
    </w:p>
    <w:p>
      <w:pPr>
        <w:pStyle w:val="BodyText"/>
      </w:pPr>
      <w:r>
        <w:t xml:space="preserve">Период с конца 1917 по весну 1918 года вошел в историю как «красногвардейская атака на капитал». Национализация тогда носила точечный, бессистемный характер: конкретные предприятия изымались местными Советами или СНК за саботаж владельцев или по инициативе рабочих коллективов. Для централизованного руководства хозяйственными процессами 5 (18) декабря 1917 года при СНК был создан Высший совет народного хозяйства (ВСНХ) [16]. Параллельно 14 декабря 1917 года были национализированы все частные коммерческие банки, которые слились с Государственным банком в единый Народный банк РСФСР, что обеспечило государственную монополию на финансово-кредитные операции.</w:t>
      </w:r>
    </w:p>
    <w:p>
      <w:pPr>
        <w:pStyle w:val="BodyText"/>
      </w:pPr>
      <w:r>
        <w:t xml:space="preserve">Переход к планомерной, крупномасштабной национализации закрепил Декрет СНК от 28 июня 1918 года [18], переведший все ключевые отрасли крупной промышленности (горную, металлургическую, текстильную, химическую и другие) в собственность республики. Управление данными предприятиями окончательно перешло к соответствующим отраслевым «главкам» ВСНХ.</w:t>
      </w:r>
    </w:p>
    <w:p>
      <w:pPr>
        <w:jc w:val="left"/>
        <w:ind w:firstLine="0"/>
        <w:spacing w:after="120"/>
      </w:pPr>
      <w:r>
        <w:rPr>
          <w:b/>
        </w:rPr>
        <w:t>Таблица 5 – Основные нормативные акты по национализации земли и промышленности</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Нормативный акт</w:t>
            </w:r>
          </w:p>
        </w:tc>
        <w:tc>
          <w:tcPr>
            <w:vAlign w:val="center"/>
          </w:tcPr>
          <w:p>
            <w:pPr>
              <w:ind w:firstLine="0"/>
              <w:pStyle w:val="Compact"/>
              <w:jc w:val="center"/>
            </w:pPr>
            <w:r>
              <w:rPr>
                <w:b/>
                <w:bCs/>
                <w:sz w:val="24"/>
                <w:szCs w:val="24"/>
              </w:rPr>
              <w:t xml:space="preserve">Дата принятия</w:t>
            </w:r>
          </w:p>
        </w:tc>
        <w:tc>
          <w:tcPr>
            <w:vAlign w:val="center"/>
          </w:tcPr>
          <w:p>
            <w:pPr>
              <w:ind w:firstLine="0"/>
              <w:pStyle w:val="Compact"/>
              <w:jc w:val="center"/>
            </w:pPr>
            <w:r>
              <w:rPr>
                <w:b/>
                <w:bCs/>
                <w:sz w:val="24"/>
                <w:szCs w:val="24"/>
              </w:rPr>
              <w:t xml:space="preserve">Основной результат</w:t>
            </w:r>
          </w:p>
        </w:tc>
      </w:tr>
      <w:tr>
        <w:tc>
          <w:tcPr>
            <w:vAlign w:val="center"/>
          </w:tcPr>
          <w:p>
            <w:pPr>
              <w:ind w:firstLine="0"/>
              <w:pStyle w:val="Compact"/>
              <w:jc w:val="center"/>
            </w:pPr>
            <w:r>
              <w:rPr>
                <w:sz w:val="24"/>
                <w:szCs w:val="24"/>
              </w:rPr>
              <w:t xml:space="preserve">Декрет «О земле»</w:t>
            </w:r>
          </w:p>
        </w:tc>
        <w:tc>
          <w:tcPr>
            <w:vAlign w:val="center"/>
          </w:tcPr>
          <w:p>
            <w:pPr>
              <w:ind w:firstLine="0"/>
              <w:pStyle w:val="Compact"/>
              <w:jc w:val="center"/>
            </w:pPr>
            <w:r>
              <w:rPr>
                <w:sz w:val="24"/>
                <w:szCs w:val="24"/>
              </w:rPr>
              <w:t xml:space="preserve">26 октября 1917 г.</w:t>
            </w:r>
          </w:p>
        </w:tc>
        <w:tc>
          <w:tcPr>
            <w:vAlign w:val="center"/>
          </w:tcPr>
          <w:p>
            <w:pPr>
              <w:ind w:firstLine="0"/>
              <w:pStyle w:val="Compact"/>
              <w:jc w:val="center"/>
            </w:pPr>
            <w:r>
              <w:rPr>
                <w:sz w:val="24"/>
                <w:szCs w:val="24"/>
              </w:rPr>
              <w:t xml:space="preserve">Ликвидация помещичьей и частной собственности на землю, ее национализация.</w:t>
            </w:r>
          </w:p>
        </w:tc>
      </w:tr>
      <w:tr>
        <w:tc>
          <w:tcPr>
            <w:vAlign w:val="center"/>
          </w:tcPr>
          <w:p>
            <w:pPr>
              <w:ind w:firstLine="0"/>
              <w:pStyle w:val="Compact"/>
              <w:jc w:val="center"/>
            </w:pPr>
            <w:r>
              <w:rPr>
                <w:sz w:val="24"/>
                <w:szCs w:val="24"/>
              </w:rPr>
              <w:t xml:space="preserve">Декрет о рабочем контроле</w:t>
            </w:r>
          </w:p>
        </w:tc>
        <w:tc>
          <w:tcPr>
            <w:vAlign w:val="center"/>
          </w:tcPr>
          <w:p>
            <w:pPr>
              <w:ind w:firstLine="0"/>
              <w:pStyle w:val="Compact"/>
              <w:jc w:val="center"/>
            </w:pPr>
            <w:r>
              <w:rPr>
                <w:sz w:val="24"/>
                <w:szCs w:val="24"/>
              </w:rPr>
              <w:t xml:space="preserve">14 ноября 1917 г.</w:t>
            </w:r>
          </w:p>
        </w:tc>
        <w:tc>
          <w:tcPr>
            <w:vAlign w:val="center"/>
          </w:tcPr>
          <w:p>
            <w:pPr>
              <w:ind w:firstLine="0"/>
              <w:pStyle w:val="Compact"/>
              <w:jc w:val="center"/>
            </w:pPr>
            <w:r>
              <w:rPr>
                <w:sz w:val="24"/>
                <w:szCs w:val="24"/>
              </w:rPr>
              <w:t xml:space="preserve">Введение контроля рабочих фабрично-заводских комитетов над предприятиями.</w:t>
            </w:r>
          </w:p>
        </w:tc>
      </w:tr>
      <w:tr>
        <w:tc>
          <w:tcPr>
            <w:vAlign w:val="center"/>
          </w:tcPr>
          <w:p>
            <w:pPr>
              <w:ind w:firstLine="0"/>
              <w:pStyle w:val="Compact"/>
              <w:jc w:val="center"/>
            </w:pPr>
            <w:r>
              <w:rPr>
                <w:sz w:val="24"/>
                <w:szCs w:val="24"/>
              </w:rPr>
              <w:t xml:space="preserve">Декрет о национализации банков</w:t>
            </w:r>
          </w:p>
        </w:tc>
        <w:tc>
          <w:tcPr>
            <w:vAlign w:val="center"/>
          </w:tcPr>
          <w:p>
            <w:pPr>
              <w:ind w:firstLine="0"/>
              <w:pStyle w:val="Compact"/>
              <w:jc w:val="center"/>
            </w:pPr>
            <w:r>
              <w:rPr>
                <w:sz w:val="24"/>
                <w:szCs w:val="24"/>
              </w:rPr>
              <w:t xml:space="preserve">14 декабря 1917 г.</w:t>
            </w:r>
          </w:p>
        </w:tc>
        <w:tc>
          <w:tcPr>
            <w:vAlign w:val="center"/>
          </w:tcPr>
          <w:p>
            <w:pPr>
              <w:ind w:firstLine="0"/>
              <w:pStyle w:val="Compact"/>
              <w:jc w:val="center"/>
            </w:pPr>
            <w:r>
              <w:rPr>
                <w:sz w:val="24"/>
                <w:szCs w:val="24"/>
              </w:rPr>
              <w:t xml:space="preserve">Слияние частных банков с Госбанком, создание государственной монополии.</w:t>
            </w:r>
          </w:p>
        </w:tc>
      </w:tr>
      <w:tr>
        <w:tc>
          <w:tcPr>
            <w:vAlign w:val="center"/>
          </w:tcPr>
          <w:p>
            <w:pPr>
              <w:ind w:firstLine="0"/>
              <w:pStyle w:val="Compact"/>
              <w:jc w:val="center"/>
            </w:pPr>
            <w:r>
              <w:rPr>
                <w:sz w:val="24"/>
                <w:szCs w:val="24"/>
              </w:rPr>
              <w:t xml:space="preserve">Декрет о национализации промышленности</w:t>
            </w:r>
          </w:p>
        </w:tc>
        <w:tc>
          <w:tcPr>
            <w:vAlign w:val="center"/>
          </w:tcPr>
          <w:p>
            <w:pPr>
              <w:ind w:firstLine="0"/>
              <w:pStyle w:val="Compact"/>
              <w:jc w:val="center"/>
            </w:pPr>
            <w:r>
              <w:rPr>
                <w:sz w:val="24"/>
                <w:szCs w:val="24"/>
              </w:rPr>
              <w:t xml:space="preserve">28 июня 1918 г.</w:t>
            </w:r>
          </w:p>
        </w:tc>
        <w:tc>
          <w:tcPr>
            <w:vAlign w:val="center"/>
          </w:tcPr>
          <w:p>
            <w:pPr>
              <w:ind w:firstLine="0"/>
              <w:pStyle w:val="Compact"/>
              <w:jc w:val="center"/>
            </w:pPr>
            <w:r>
              <w:rPr>
                <w:sz w:val="24"/>
                <w:szCs w:val="24"/>
              </w:rPr>
              <w:t xml:space="preserve">Переход всей крупной промышленности под прямое управление ВСНХ.</w:t>
            </w:r>
          </w:p>
        </w:tc>
      </w:tr>
    </w:tbl>
    <w:p>
      <w:pPr>
        <w:pStyle w:val="BodyText"/>
      </w:pPr>
      <w:r>
        <w:t xml:space="preserve">Таким образом, национализация промышленности и земли в период с октября 1917 по 1918 год выступила прочным материальным фундаментом новой советской государственности. Она не только ликвидировала прежнюю экономическую модель капиталистического уклада, но и заложила основу для жестко централизованного аппарата административного управления экономикой, что в дальнейшем предопределило форсированный переход к политике военного коммунизма.</w:t>
      </w:r>
    </w:p>
    <w:p>
      <w:r>
        <w:br w:type="page"/>
      </w:r>
    </w:p>
    <w:bookmarkEnd w:id="25"/>
    <w:bookmarkStart w:id="26" w:name="sec-7"/>
    <w:p>
      <w:pPr>
        <w:spacing w:line="360" w:lineRule="auto" w:after="40" w:afterAutospacing="0" w:beforeAutospacing="0"/>
        <w:pStyle w:val="Heading2"/>
      </w:pPr>
      <w:r>
        <w:t xml:space="preserve">6. Строительство Красной Армии</w:t>
      </w:r>
    </w:p>
    <w:p>
      <w:pPr>
        <w:pStyle w:val="FirstParagraph"/>
      </w:pPr>
      <w:r>
        <w:t xml:space="preserve">Формирование вооруженных сил советского государства в период с октября 1917 года по конец 1918 года представляло собой сложный процесс эволюции от утопических доктринальных представлений к жесткой централизованной регулярной армии. Первоначально большевистское руководство, опираясь на марксистские теоретические положения, планировало полностью заменить постоянную армию всеобщим вооружением трудящихся в форме Красной гвардии. Однако эскалация Гражданской войны, иностранная интервенция и окончательный развал прежней царской армии заставили советское правительство радикально пересмотреть свои взгляды на военное строительство [18].</w:t>
      </w:r>
    </w:p>
    <w:p>
      <w:pPr>
        <w:pStyle w:val="BodyText"/>
      </w:pPr>
      <w:r>
        <w:t xml:space="preserve">Начальным этапом создания регулярных советских вооруженных сил стал декрет Совета народных комиссаров от 15 (28) января 1918 года «О Рабоче-крестьянской Красной Армии» [4] (а вскоре и от 11 (24) февраля — «О Рабоче-крестьянском Красном Флоте»). На этом этапе армия комплектовалась исключительно на добровольных началах из числа наиболее сознательных рабочих и крестьян. Запись добровольцев сопровождалась обязательными рекомендациями от партийных, фабрично-заводских или профсоюзных организаций. Добровольческий принцип, однако, быстро показал свою полную несостоятельность в условиях масштабных боевых действий на нескольких фронтах. Добровольческие отряды отличались крайней неустойчивостью, низким уровнем воинской дисциплины, склонностью к бесконечной «митинговщине» и выборности командного состава, а также острым дефицитом квалифицированных военных кадров, что неизменно приводило к поражениям при первых серьезных столкновениях с регулярными войсками противника.</w:t>
      </w:r>
    </w:p>
    <w:p>
      <w:pPr>
        <w:pStyle w:val="BodyText"/>
      </w:pPr>
      <w:r>
        <w:t xml:space="preserve">Осознав критичность положения, советское правительство весной-летом 1918 года перешло к кардинальной реорганизации всей военной системы. Решающим шагом стал переход от добровольчества к обязательной воинской повинности. 29 мая 1918 года ВЦИК принял постановление «О принудительном наборе в Рабоче-Крестьянскую Красную Армию», а в июле 1918 года V Всероссийский съезд Советов законодательно закрепил всеобщую воинскую обязанность трудящихся мужчин в возрасте от 18 до 40 лет.</w:t>
      </w:r>
    </w:p>
    <w:p>
      <w:pPr>
        <w:pStyle w:val="BodyText"/>
      </w:pPr>
      <w:r>
        <w:t xml:space="preserve">Для управления реорганизованной армией была выстроена жесткая централизованная структура органов военного управления, ключевую роль в которой сыграло учреждение в сентябре 1918 года Революционного военного совета Республики (РВСР) под председательством Л. Д. Троцкого. РВСР объединил в себе функции оперативного командования и административно-политического руководства войсками. На местах руководство мобилизацией и обучением призывников осуществлялось через разветвленную сеть военных комиссариатов (военкоматов), созданных в соответствии с декретом СНК от 8 апреля 1918 года [16].</w:t>
      </w:r>
    </w:p>
    <w:p>
      <w:pPr>
        <w:pStyle w:val="BodyText"/>
      </w:pPr>
      <w:r>
        <w:t xml:space="preserve">Важной составляющей военного строительства стало привлечение квалифицированных кадров. Нехватка профессиональных командиров заставила советскую власть пойти на использование «военных специалистов» — бывших офицеров и генералов императорской армии. Для контроля над их политической лояльностью и обеспечения идеологического единства армии в апреле 1918 года декретом ВЦИК был официально учрежден институт военных комиссаров. Он стал уникальным политико-административным механизмом, превратившим разнородную массу мобилизованных крестьян и классово чуждых офицеров в управляемую боевую силу.</w:t>
      </w:r>
    </w:p>
    <w:p>
      <w:pPr>
        <w:pStyle w:val="BodyText"/>
      </w:pPr>
      <w:r>
        <w:t xml:space="preserve">Для укрепления внутренней дисциплины в формирующейся РККА правительство пошло на жесткие меры. Летом 1918 года на фронте была фактически восстановлена смертная казнь за дезертирство, неисполнение приказов и мародерство, осуществлен переход к строгой централизации снабжения и управления. По всей стране была создана система военных трибуналов, карающая за любые проявления воинских преступлений, что превратило советские вооруженные силы в монолитную государственную организацию.</w:t>
      </w:r>
    </w:p>
    <w:p>
      <w:pPr>
        <w:pStyle w:val="BodyText"/>
      </w:pPr>
      <w:r>
        <w:t xml:space="preserve">Этапы и особенности военного строительства в 1917–1918 гг. можно представить в следующей сравнительной таблице:</w:t>
      </w:r>
    </w:p>
    <w:p>
      <w:pPr>
        <w:jc w:val="left"/>
        <w:ind w:firstLine="0"/>
        <w:spacing w:after="120"/>
      </w:pPr>
      <w:r>
        <w:rPr>
          <w:b/>
        </w:rPr>
        <w:t>Таблица 6 – Этапы и особенности формирования Красной Армии в 1917–1918 годах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Параметр сравнения</w:t>
            </w:r>
          </w:p>
        </w:tc>
        <w:tc>
          <w:tcPr>
            <w:vAlign w:val="center"/>
          </w:tcPr>
          <w:p>
            <w:pPr>
              <w:ind w:firstLine="0"/>
              <w:pStyle w:val="Compact"/>
              <w:jc w:val="center"/>
            </w:pPr>
            <w:r>
              <w:rPr>
                <w:b/>
                <w:bCs/>
                <w:sz w:val="24"/>
                <w:szCs w:val="24"/>
              </w:rPr>
              <w:t xml:space="preserve">Первый этап (октябрь 1917 – весна 1918 г.)</w:t>
            </w:r>
          </w:p>
        </w:tc>
        <w:tc>
          <w:tcPr>
            <w:vAlign w:val="center"/>
          </w:tcPr>
          <w:p>
            <w:pPr>
              <w:ind w:firstLine="0"/>
              <w:pStyle w:val="Compact"/>
              <w:jc w:val="center"/>
            </w:pPr>
            <w:r>
              <w:rPr>
                <w:b/>
                <w:bCs/>
                <w:sz w:val="24"/>
                <w:szCs w:val="24"/>
              </w:rPr>
              <w:t xml:space="preserve">Второй этап (весна – конец 1918 г.)</w:t>
            </w:r>
          </w:p>
        </w:tc>
      </w:tr>
      <w:tr>
        <w:tc>
          <w:tcPr>
            <w:vAlign w:val="center"/>
          </w:tcPr>
          <w:p>
            <w:pPr>
              <w:ind w:firstLine="0"/>
              <w:pStyle w:val="Compact"/>
              <w:jc w:val="center"/>
            </w:pPr>
            <w:r>
              <w:rPr>
                <w:sz w:val="24"/>
                <w:szCs w:val="24"/>
              </w:rPr>
              <w:t xml:space="preserve">Принцип комплектования</w:t>
            </w:r>
          </w:p>
        </w:tc>
        <w:tc>
          <w:tcPr>
            <w:vAlign w:val="center"/>
          </w:tcPr>
          <w:p>
            <w:pPr>
              <w:ind w:firstLine="0"/>
              <w:pStyle w:val="Compact"/>
              <w:jc w:val="center"/>
            </w:pPr>
            <w:r>
              <w:rPr>
                <w:sz w:val="24"/>
                <w:szCs w:val="24"/>
              </w:rPr>
              <w:t xml:space="preserve">Добровольчество, классовый отбор трудящихся</w:t>
            </w:r>
          </w:p>
        </w:tc>
        <w:tc>
          <w:tcPr>
            <w:vAlign w:val="center"/>
          </w:tcPr>
          <w:p>
            <w:pPr>
              <w:ind w:firstLine="0"/>
              <w:pStyle w:val="Compact"/>
              <w:jc w:val="center"/>
            </w:pPr>
            <w:r>
              <w:rPr>
                <w:sz w:val="24"/>
                <w:szCs w:val="24"/>
              </w:rPr>
              <w:t xml:space="preserve">Всеобщая воинская повинность трудящихся</w:t>
            </w:r>
          </w:p>
        </w:tc>
      </w:tr>
      <w:tr>
        <w:tc>
          <w:tcPr>
            <w:vAlign w:val="center"/>
          </w:tcPr>
          <w:p>
            <w:pPr>
              <w:ind w:firstLine="0"/>
              <w:pStyle w:val="Compact"/>
              <w:jc w:val="center"/>
            </w:pPr>
            <w:r>
              <w:rPr>
                <w:sz w:val="24"/>
                <w:szCs w:val="24"/>
              </w:rPr>
              <w:t xml:space="preserve">Система командования</w:t>
            </w:r>
          </w:p>
        </w:tc>
        <w:tc>
          <w:tcPr>
            <w:vAlign w:val="center"/>
          </w:tcPr>
          <w:p>
            <w:pPr>
              <w:ind w:firstLine="0"/>
              <w:pStyle w:val="Compact"/>
              <w:jc w:val="center"/>
            </w:pPr>
            <w:r>
              <w:rPr>
                <w:sz w:val="24"/>
                <w:szCs w:val="24"/>
              </w:rPr>
              <w:t xml:space="preserve">Выборность командиров, коллегиальность решений</w:t>
            </w:r>
          </w:p>
        </w:tc>
        <w:tc>
          <w:tcPr>
            <w:vAlign w:val="center"/>
          </w:tcPr>
          <w:p>
            <w:pPr>
              <w:ind w:firstLine="0"/>
              <w:pStyle w:val="Compact"/>
              <w:jc w:val="center"/>
            </w:pPr>
            <w:r>
              <w:rPr>
                <w:sz w:val="24"/>
                <w:szCs w:val="24"/>
              </w:rPr>
              <w:t xml:space="preserve">Единоначалие, жесткое назначение сверху</w:t>
            </w:r>
          </w:p>
        </w:tc>
      </w:tr>
      <w:tr>
        <w:tc>
          <w:tcPr>
            <w:vAlign w:val="center"/>
          </w:tcPr>
          <w:p>
            <w:pPr>
              <w:ind w:firstLine="0"/>
              <w:pStyle w:val="Compact"/>
              <w:jc w:val="center"/>
            </w:pPr>
            <w:r>
              <w:rPr>
                <w:sz w:val="24"/>
                <w:szCs w:val="24"/>
              </w:rPr>
              <w:t xml:space="preserve">Кадровый состав</w:t>
            </w:r>
          </w:p>
        </w:tc>
        <w:tc>
          <w:tcPr>
            <w:vAlign w:val="center"/>
          </w:tcPr>
          <w:p>
            <w:pPr>
              <w:ind w:firstLine="0"/>
              <w:pStyle w:val="Compact"/>
              <w:jc w:val="center"/>
            </w:pPr>
            <w:r>
              <w:rPr>
                <w:sz w:val="24"/>
                <w:szCs w:val="24"/>
              </w:rPr>
              <w:t xml:space="preserve">Красногвардейцы, солдаты-добровольцы</w:t>
            </w:r>
          </w:p>
        </w:tc>
        <w:tc>
          <w:tcPr>
            <w:vAlign w:val="center"/>
          </w:tcPr>
          <w:p>
            <w:pPr>
              <w:ind w:firstLine="0"/>
              <w:pStyle w:val="Compact"/>
              <w:jc w:val="center"/>
            </w:pPr>
            <w:r>
              <w:rPr>
                <w:sz w:val="24"/>
                <w:szCs w:val="24"/>
              </w:rPr>
              <w:t xml:space="preserve">Мобилизованные граждане, привлечение «военспецов»</w:t>
            </w:r>
          </w:p>
        </w:tc>
      </w:tr>
      <w:tr>
        <w:tc>
          <w:tcPr>
            <w:vAlign w:val="center"/>
          </w:tcPr>
          <w:p>
            <w:pPr>
              <w:ind w:firstLine="0"/>
              <w:pStyle w:val="Compact"/>
              <w:jc w:val="center"/>
            </w:pPr>
            <w:r>
              <w:rPr>
                <w:sz w:val="24"/>
                <w:szCs w:val="24"/>
              </w:rPr>
              <w:t xml:space="preserve">Органы управления</w:t>
            </w:r>
          </w:p>
        </w:tc>
        <w:tc>
          <w:tcPr>
            <w:vAlign w:val="center"/>
          </w:tcPr>
          <w:p>
            <w:pPr>
              <w:ind w:firstLine="0"/>
              <w:pStyle w:val="Compact"/>
              <w:jc w:val="center"/>
            </w:pPr>
            <w:r>
              <w:rPr>
                <w:sz w:val="24"/>
                <w:szCs w:val="24"/>
              </w:rPr>
              <w:t xml:space="preserve">Отдельные штабы Красной гвардии, Наркомвоен</w:t>
            </w:r>
          </w:p>
        </w:tc>
        <w:tc>
          <w:tcPr>
            <w:vAlign w:val="center"/>
          </w:tcPr>
          <w:p>
            <w:pPr>
              <w:ind w:firstLine="0"/>
              <w:pStyle w:val="Compact"/>
              <w:jc w:val="center"/>
            </w:pPr>
            <w:r>
              <w:rPr>
                <w:sz w:val="24"/>
                <w:szCs w:val="24"/>
              </w:rPr>
              <w:t xml:space="preserve">РВСР, Всероссийский главный штаб, сеть военкоматов</w:t>
            </w:r>
          </w:p>
        </w:tc>
      </w:tr>
      <w:tr>
        <w:tc>
          <w:tcPr>
            <w:vAlign w:val="center"/>
          </w:tcPr>
          <w:p>
            <w:pPr>
              <w:ind w:firstLine="0"/>
              <w:pStyle w:val="Compact"/>
              <w:jc w:val="center"/>
            </w:pPr>
            <w:r>
              <w:rPr>
                <w:sz w:val="24"/>
                <w:szCs w:val="24"/>
              </w:rPr>
              <w:t xml:space="preserve">Контроль и дисциплина</w:t>
            </w:r>
          </w:p>
        </w:tc>
        <w:tc>
          <w:tcPr>
            <w:vAlign w:val="center"/>
          </w:tcPr>
          <w:p>
            <w:pPr>
              <w:ind w:firstLine="0"/>
              <w:pStyle w:val="Compact"/>
              <w:jc w:val="center"/>
            </w:pPr>
            <w:r>
              <w:rPr>
                <w:sz w:val="24"/>
                <w:szCs w:val="24"/>
              </w:rPr>
              <w:t xml:space="preserve">Революционное самосознание, низкая дисциплина</w:t>
            </w:r>
          </w:p>
        </w:tc>
        <w:tc>
          <w:tcPr>
            <w:vAlign w:val="center"/>
          </w:tcPr>
          <w:p>
            <w:pPr>
              <w:ind w:firstLine="0"/>
              <w:pStyle w:val="Compact"/>
              <w:jc w:val="center"/>
            </w:pPr>
            <w:r>
              <w:rPr>
                <w:sz w:val="24"/>
                <w:szCs w:val="24"/>
              </w:rPr>
              <w:t xml:space="preserve">Военные трибуналы, институт комиссаров, смертная казнь</w:t>
            </w:r>
          </w:p>
        </w:tc>
      </w:tr>
    </w:tbl>
    <w:p>
      <w:pPr>
        <w:pStyle w:val="BodyText"/>
      </w:pPr>
      <w:r>
        <w:t xml:space="preserve">Таким образом, военное строительство в первый год советской власти прошло стремительный путь от децентрализованного добровольческого ополчения к регулярной, массовой и строго дисциплинированной армии. Создание РККА позволило большевикам не только защитить свои властные позиции в условиях Гражданской войны, но и заложить организационные, кадровые и идеологические основы будущей советской военной машины.</w:t>
      </w:r>
    </w:p>
    <w:p>
      <w:r>
        <w:br w:type="page"/>
      </w:r>
    </w:p>
    <w:bookmarkEnd w:id="26"/>
    <w:bookmarkStart w:id="27" w:name="sec-8"/>
    <w:p>
      <w:pPr>
        <w:spacing w:line="360" w:lineRule="auto" w:after="40" w:afterAutospacing="0" w:beforeAutospacing="0"/>
        <w:pStyle w:val="Heading2"/>
      </w:pPr>
      <w:r>
        <w:t xml:space="preserve">7. Конституция РСФСР 1918 года</w:t>
      </w:r>
    </w:p>
    <w:p>
      <w:pPr>
        <w:pStyle w:val="FirstParagraph"/>
      </w:pPr>
      <w:r>
        <w:t xml:space="preserve">Принятие первой советской Конституции на V Всероссийском съезде Советов 10 июля 1918 года стало ключевым этапом в процессе легитимации и юридического оформления новой политической системы. Разработка этого основополагающего акта велась в условиях обострявшейся Гражданской войны и острой внутриполитической борьбы. Подготовительная комиссия под руководством Я. М. Свердлова и при активном участии В. И. Ленина стремилась не просто зафиксировать существующие институты, но и придать им характер конституционного закона социалистического типа [1]. Важнейшей вводной частью Конституции стала «Декларация прав трудящегося и эксплуатируемого народа», ранее принятая III Всероссийским съездом Советов, которая провозглашала уничтожение всякой эксплуатации человека человеком, беспощадное подавление эксплуататоров и построение социалистической организации общества. Таким образом, Основной Закон изначально носил ярко выраженный классовый, идеологизированный характер.</w:t>
      </w:r>
    </w:p>
    <w:p>
      <w:pPr>
        <w:pStyle w:val="BodyText"/>
      </w:pPr>
      <w:r>
        <w:t xml:space="preserve">Структурно Конституция состояла из 6 разделов, 17 глав и 90 статей. Она юридически закрепила диктатуру пролетариата, союз рабочего класса и беднейшего крестьянства как классовую базу нового государства [1]. Одной из центральных идей Конституции РСФСР 1918 года стала федерализация страны. Основной Закон провозглашал Российскую Социалистическую Федеративную Советскую Республику свободной федерацией национальных республик. Это решение отражало стремление большевиков предложить новую форму союза угнетенных народов бывшей империи на основе классовой солидарности. Кроме того, конституционно закреплялась отмена частной собственности на землю, леса, недра и основные средства производства, что послужило фундаментом для тотальной национализации экономической системы страны.</w:t>
      </w:r>
    </w:p>
    <w:p>
      <w:pPr>
        <w:pStyle w:val="BodyText"/>
      </w:pPr>
      <w:r>
        <w:t xml:space="preserve">Высшим органом государственной власти Конституция провозгласила Всероссийский съезд Советов рабочих, крестьянских, красноармейских и казачьих депутатов [1]. В периоды между съездами его полномочия передавались Всероссийскому Центральному Исполнительному Комитету (ВЦИК), который являлся высшим законодательным, распорядительным и контролирующим органом. ВЦИК формировал Совет Народных Комиссаров (СНК) РСФСР для общего управления делами республики. Таким образом, в системе советского права отсутствовал буржуазный принцип разделения властей; вместо него внедрялся принцип единства власти Советов. Советская модель характеризовалась широким делегированием законодательных функций как ВЦИКу, так и Совнаркому, что обеспечивало предельную гибкость и оперативность управления в условиях кризиса.</w:t>
      </w:r>
    </w:p>
    <w:p>
      <w:pPr>
        <w:pStyle w:val="BodyText"/>
      </w:pPr>
      <w:r>
        <w:t xml:space="preserve">Особое внимание заслуживает избирательная система, закрепленная в Конституции 1918 года, которая носила открыто дискриминационный классовый характер [1]. Право избирать и быть избранными получали только лица, добывавшие средства к жизни производительным и общественно полезным трудом, а также солдаты и матросы. Избирательных прав полностью лишались так называемые «эксплуататорские элементы» — лица, использующие наемный труд ради прибыли, живущие на нетрудовые доходы, торговцы, духовенство, бывшие служащие царской полиции. Выборы не были ни равными, ни прямыми, ни тайными. Преимущество отдавалось рабочему классу над крестьянством для обеспечения гегемонии пролетариата. Для наглядности структуру и ключевые диспропорции избирательного права можно представить в таблице:</w:t>
      </w:r>
    </w:p>
    <w:p>
      <w:pPr>
        <w:jc w:val="left"/>
        <w:ind w:firstLine="0"/>
        <w:spacing w:after="120"/>
      </w:pPr>
      <w:r>
        <w:rPr>
          <w:b/>
        </w:rPr>
        <w:t>Таблица 7 – Особенности избирательной системы по Конституции РСФСР 1918 года</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980"/>
        <w:gridCol w:w="1980"/>
        <w:gridCol w:w="1980"/>
        <w:gridCol w:w="1980"/>
      </w:tblGrid>
      <w:tr>
        <w:trPr>
          <w:tblHeader w:val="true"/>
        </w:trPr>
        <w:tc>
          <w:tcPr>
            <w:vAlign w:val="center"/>
          </w:tcPr>
          <w:p>
            <w:pPr>
              <w:ind w:firstLine="0"/>
              <w:pStyle w:val="Compact"/>
              <w:jc w:val="center"/>
            </w:pPr>
            <w:r>
              <w:rPr>
                <w:b/>
                <w:bCs/>
                <w:sz w:val="24"/>
                <w:szCs w:val="24"/>
              </w:rPr>
              <w:t xml:space="preserve">Категория населения</w:t>
            </w:r>
          </w:p>
        </w:tc>
        <w:tc>
          <w:tcPr>
            <w:vAlign w:val="center"/>
          </w:tcPr>
          <w:p>
            <w:pPr>
              <w:ind w:firstLine="0"/>
              <w:pStyle w:val="Compact"/>
              <w:jc w:val="center"/>
            </w:pPr>
            <w:r>
              <w:rPr>
                <w:b/>
                <w:bCs/>
                <w:sz w:val="24"/>
                <w:szCs w:val="24"/>
              </w:rPr>
              <w:t xml:space="preserve">Норма представительства</w:t>
            </w:r>
          </w:p>
        </w:tc>
        <w:tc>
          <w:tcPr>
            <w:vAlign w:val="center"/>
          </w:tcPr>
          <w:p>
            <w:pPr>
              <w:ind w:firstLine="0"/>
              <w:pStyle w:val="Compact"/>
              <w:jc w:val="center"/>
            </w:pPr>
            <w:r>
              <w:rPr>
                <w:b/>
                <w:bCs/>
                <w:sz w:val="24"/>
                <w:szCs w:val="24"/>
              </w:rPr>
              <w:t xml:space="preserve">Способ голосования</w:t>
            </w:r>
          </w:p>
        </w:tc>
        <w:tc>
          <w:tcPr>
            <w:vAlign w:val="center"/>
          </w:tcPr>
          <w:p>
            <w:pPr>
              <w:ind w:firstLine="0"/>
              <w:pStyle w:val="Compact"/>
              <w:jc w:val="center"/>
            </w:pPr>
            <w:r>
              <w:rPr>
                <w:b/>
                <w:bCs/>
                <w:sz w:val="24"/>
                <w:szCs w:val="24"/>
              </w:rPr>
              <w:t xml:space="preserve">Избирательные права</w:t>
            </w:r>
          </w:p>
        </w:tc>
      </w:tr>
      <w:tr>
        <w:tc>
          <w:tcPr>
            <w:vAlign w:val="center"/>
          </w:tcPr>
          <w:p>
            <w:pPr>
              <w:ind w:firstLine="0"/>
              <w:pStyle w:val="Compact"/>
              <w:jc w:val="center"/>
            </w:pPr>
            <w:r>
              <w:rPr>
                <w:sz w:val="24"/>
                <w:szCs w:val="24"/>
              </w:rPr>
              <w:t xml:space="preserve">Городские рабочие</w:t>
            </w:r>
          </w:p>
        </w:tc>
        <w:tc>
          <w:tcPr>
            <w:vAlign w:val="center"/>
          </w:tcPr>
          <w:p>
            <w:pPr>
              <w:ind w:firstLine="0"/>
              <w:pStyle w:val="Compact"/>
              <w:jc w:val="center"/>
            </w:pPr>
            <w:r>
              <w:rPr>
                <w:sz w:val="24"/>
                <w:szCs w:val="24"/>
              </w:rPr>
              <w:t xml:space="preserve">1 депутат от 25 000 избирателей</w:t>
            </w:r>
          </w:p>
        </w:tc>
        <w:tc>
          <w:tcPr>
            <w:vAlign w:val="center"/>
          </w:tcPr>
          <w:p>
            <w:pPr>
              <w:ind w:firstLine="0"/>
              <w:pStyle w:val="Compact"/>
              <w:jc w:val="center"/>
            </w:pPr>
            <w:r>
              <w:rPr>
                <w:sz w:val="24"/>
                <w:szCs w:val="24"/>
              </w:rPr>
              <w:t xml:space="preserve">Открытое на собраниях</w:t>
            </w:r>
          </w:p>
        </w:tc>
        <w:tc>
          <w:tcPr>
            <w:vAlign w:val="center"/>
          </w:tcPr>
          <w:p>
            <w:pPr>
              <w:ind w:firstLine="0"/>
              <w:pStyle w:val="Compact"/>
              <w:jc w:val="center"/>
            </w:pPr>
            <w:r>
              <w:rPr>
                <w:sz w:val="24"/>
                <w:szCs w:val="24"/>
              </w:rPr>
              <w:t xml:space="preserve">Полноценные избирательные права</w:t>
            </w:r>
          </w:p>
        </w:tc>
      </w:tr>
      <w:tr>
        <w:tc>
          <w:tcPr>
            <w:vAlign w:val="center"/>
          </w:tcPr>
          <w:p>
            <w:pPr>
              <w:ind w:firstLine="0"/>
              <w:pStyle w:val="Compact"/>
              <w:jc w:val="center"/>
            </w:pPr>
            <w:r>
              <w:rPr>
                <w:sz w:val="24"/>
                <w:szCs w:val="24"/>
              </w:rPr>
              <w:t xml:space="preserve">Сельское крестьянство</w:t>
            </w:r>
          </w:p>
        </w:tc>
        <w:tc>
          <w:tcPr>
            <w:vAlign w:val="center"/>
          </w:tcPr>
          <w:p>
            <w:pPr>
              <w:ind w:firstLine="0"/>
              <w:pStyle w:val="Compact"/>
              <w:jc w:val="center"/>
            </w:pPr>
            <w:r>
              <w:rPr>
                <w:sz w:val="24"/>
                <w:szCs w:val="24"/>
              </w:rPr>
              <w:t xml:space="preserve">1 депутат от 125 000 жителей</w:t>
            </w:r>
          </w:p>
        </w:tc>
        <w:tc>
          <w:tcPr>
            <w:vAlign w:val="center"/>
          </w:tcPr>
          <w:p>
            <w:pPr>
              <w:ind w:firstLine="0"/>
              <w:pStyle w:val="Compact"/>
              <w:jc w:val="center"/>
            </w:pPr>
            <w:r>
              <w:rPr>
                <w:sz w:val="24"/>
                <w:szCs w:val="24"/>
              </w:rPr>
              <w:t xml:space="preserve">Открытое на собраниях</w:t>
            </w:r>
          </w:p>
        </w:tc>
        <w:tc>
          <w:tcPr>
            <w:vAlign w:val="center"/>
          </w:tcPr>
          <w:p>
            <w:pPr>
              <w:ind w:firstLine="0"/>
              <w:pStyle w:val="Compact"/>
              <w:jc w:val="center"/>
            </w:pPr>
            <w:r>
              <w:rPr>
                <w:sz w:val="24"/>
                <w:szCs w:val="24"/>
              </w:rPr>
              <w:t xml:space="preserve">Полноценные избирательные права</w:t>
            </w:r>
          </w:p>
        </w:tc>
      </w:tr>
      <w:tr>
        <w:tc>
          <w:tcPr>
            <w:vAlign w:val="center"/>
          </w:tcPr>
          <w:p>
            <w:pPr>
              <w:ind w:firstLine="0"/>
              <w:pStyle w:val="Compact"/>
              <w:jc w:val="center"/>
            </w:pPr>
            <w:r>
              <w:rPr>
                <w:sz w:val="24"/>
                <w:szCs w:val="24"/>
              </w:rPr>
              <w:t xml:space="preserve">«Лишенцы» (бывшие эксплуататоры)</w:t>
            </w:r>
          </w:p>
        </w:tc>
        <w:tc>
          <w:tcPr>
            <w:vAlign w:val="center"/>
          </w:tcPr>
          <w:p>
            <w:pPr>
              <w:ind w:firstLine="0"/>
              <w:pStyle w:val="Compact"/>
              <w:jc w:val="center"/>
            </w:pPr>
            <w:r>
              <w:rPr>
                <w:sz w:val="24"/>
                <w:szCs w:val="24"/>
              </w:rPr>
              <w:t xml:space="preserve">Не допускались к выборам</w:t>
            </w:r>
          </w:p>
        </w:tc>
        <w:tc>
          <w:tcPr>
            <w:vAlign w:val="center"/>
          </w:tcPr>
          <w:p>
            <w:pPr>
              <w:ind w:firstLine="0"/>
              <w:pStyle w:val="Compact"/>
              <w:jc w:val="center"/>
            </w:pPr>
            <w:r>
              <w:rPr>
                <w:sz w:val="24"/>
                <w:szCs w:val="24"/>
              </w:rPr>
              <w:t xml:space="preserve">Отсутствует</w:t>
            </w:r>
          </w:p>
        </w:tc>
        <w:tc>
          <w:tcPr>
            <w:vAlign w:val="center"/>
          </w:tcPr>
          <w:p>
            <w:pPr>
              <w:ind w:firstLine="0"/>
              <w:pStyle w:val="Compact"/>
              <w:jc w:val="center"/>
            </w:pPr>
            <w:r>
              <w:rPr>
                <w:sz w:val="24"/>
                <w:szCs w:val="24"/>
              </w:rPr>
              <w:t xml:space="preserve">Лишены избирательных прав</w:t>
            </w:r>
          </w:p>
        </w:tc>
      </w:tr>
    </w:tbl>
    <w:p>
      <w:pPr>
        <w:pStyle w:val="BodyText"/>
      </w:pPr>
      <w:r>
        <w:t xml:space="preserve">Из данной таблицы видно, что один голос городского рабочего приравнивался к пяти голосам сельских жителей, что подчеркивало ведущую политическую роль индустриального пролетариата в советском государстве.</w:t>
      </w:r>
    </w:p>
    <w:p>
      <w:pPr>
        <w:pStyle w:val="BodyText"/>
      </w:pPr>
      <w:r>
        <w:t xml:space="preserve">Конституция РСФСР 1918 года отличалась также своеобразным подходом к трактовке прав и свобод граждан. Традиционные либеральные права и свободы (слова, печати, союзов, собраний) предоставлялись трудящимся только в той мере, в какой они способствовали укреплению социалистического строя. Более того, провозглашалось слияние прав с обязанностями. Основной Закон устанавливал всеобщую обязанность трудиться по принципу «не трудящийся да не ест» и вводил всеобщую воинскую повинность по защите социалистического Отечества. Подводя итог, можно утверждать, что Конституция 1918 года стала уникальным памятником права, зафиксировавшим рождение новой модели государственности. Она не декларировала формальное равенство всех граждан, а, напротив, узаконивала социальное и классовое неравенство ради построения нового общества, создав прочный каркас для развития последующего советского законодательства.</w:t>
      </w:r>
    </w:p>
    <w:p>
      <w:r>
        <w:br w:type="page"/>
      </w:r>
    </w:p>
    <w:bookmarkEnd w:id="27"/>
    <w:bookmarkStart w:id="28" w:name="sec-9"/>
    <w:p>
      <w:pPr>
        <w:spacing w:line="360" w:lineRule="auto" w:after="40" w:afterAutospacing="0" w:beforeAutospacing="0"/>
        <w:pStyle w:val="Heading2"/>
      </w:pPr>
      <w:r>
        <w:t xml:space="preserve">8. Органы власти на местах</w:t>
      </w:r>
    </w:p>
    <w:p>
      <w:pPr>
        <w:pStyle w:val="FirstParagraph"/>
      </w:pPr>
      <w:r>
        <w:t xml:space="preserve">Процесс становления органов власти на местах в период с октября 1917 года по конец 1918 года отражает сложную динамику перехода от децентрализованного революционного творчества к централизованной административной системе. Первоочередной задачей советского руководства после октябрьских событий стала ликвидация прежней системы местного самоуправления, представленной комиссарами Временного правительства, земствами и городскими думами. Данный процесс проходил параллельно с «триумфальным шествием советской власти». Постановление II Всероссийского съезда Советов «О полноте власти Советов» от 26 октября (8 ноября) 1917 года декларировало переход всей полноты власти на местах к Советам рабочих, солдатских и крестьянских депутатов [3].</w:t>
      </w:r>
    </w:p>
    <w:p>
      <w:pPr>
        <w:pStyle w:val="BodyText"/>
      </w:pPr>
      <w:r>
        <w:t xml:space="preserve">Однако на начальном этапе новая власть столкнулась с явлением «местного суверенитета», когда региональные Советы действовали изолированно, зачастую игнорируя директивы СНК и ВЦИК. Возникали автономные «советские республики», обладавшие собственными нормативными и финансовыми системами. Для преодоления управленческого хаоса НКВД РСФСР в январе 1918 года издал инструкцию «О правах и обязанностях Советов», заложившую основы принципа демократического централизма [5]. Этот документ предписывал местным органам неукоснительно исполнять предписания центра и систематически отчитываться перед вышестоящими инстанциями.</w:t>
      </w:r>
    </w:p>
    <w:p>
      <w:pPr>
        <w:pStyle w:val="BodyText"/>
      </w:pPr>
      <w:r>
        <w:t xml:space="preserve">Особое место в эволюции местной власти заняли Комитеты бедноты (комбеды), учрежденные декретом ВЦИК от 11 июня 1918 года [27]. Создание комбедов было обусловлено продовольственным кризисом и стремлением расколоть крестьянскую общину для принудительного изъятия хлебных излишков. На практике комбеды во многих волостях превратились в чрезвычайные органы власти, фактически вытеснив традиционные сельские Советы, в которых преобладали зажиточные слои населения. Комбеды занимались изъятием хлеба, распределением инвентаря и мобилизацией в Красную Армию. К концу 1918 года, выполнив свои функции и вызвав серьезный рост социальной напряженности, комбеды были упразднены по решению VI Чрезвычайного Всероссийского съезда Советов, а их полномочия перешли к обновленным местным Советам.</w:t>
      </w:r>
    </w:p>
    <w:p>
      <w:pPr>
        <w:pStyle w:val="BodyText"/>
      </w:pPr>
      <w:r>
        <w:t xml:space="preserve">Институциональное закрепление и унификация структуры местных органов власти произошли с принятием Конституции РСФСР в июле 1918 года [12]. Раздел третий Основного закона («Конструкция Советской власти») упорядочил систему Советов, зафиксировав их иерархическую структуру:</w:t>
      </w:r>
    </w:p>
    <w:p>
      <w:pPr>
        <w:jc w:val="left"/>
        <w:ind w:firstLine="0"/>
        <w:spacing w:after="120"/>
      </w:pPr>
      <w:r>
        <w:rPr>
          <w:b/>
        </w:rPr>
        <w:t>Таблица 8 – Иерархическая структура органов советской власти на местах</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Административная единица</w:t>
            </w:r>
          </w:p>
        </w:tc>
        <w:tc>
          <w:tcPr>
            <w:vAlign w:val="center"/>
          </w:tcPr>
          <w:p>
            <w:pPr>
              <w:ind w:firstLine="0"/>
              <w:pStyle w:val="Compact"/>
              <w:jc w:val="center"/>
            </w:pPr>
            <w:r>
              <w:rPr>
                <w:b/>
                <w:bCs/>
                <w:sz w:val="24"/>
                <w:szCs w:val="24"/>
              </w:rPr>
              <w:t xml:space="preserve">Высший орган власти на месте</w:t>
            </w:r>
          </w:p>
        </w:tc>
        <w:tc>
          <w:tcPr>
            <w:vAlign w:val="center"/>
          </w:tcPr>
          <w:p>
            <w:pPr>
              <w:ind w:firstLine="0"/>
              <w:pStyle w:val="Compact"/>
              <w:jc w:val="center"/>
            </w:pPr>
            <w:r>
              <w:rPr>
                <w:b/>
                <w:bCs/>
                <w:sz w:val="24"/>
                <w:szCs w:val="24"/>
              </w:rPr>
              <w:t xml:space="preserve">Постоянный исполнительный орган</w:t>
            </w:r>
          </w:p>
        </w:tc>
      </w:tr>
      <w:tr>
        <w:tc>
          <w:tcPr>
            <w:vAlign w:val="center"/>
          </w:tcPr>
          <w:p>
            <w:pPr>
              <w:ind w:firstLine="0"/>
              <w:pStyle w:val="Compact"/>
              <w:jc w:val="center"/>
            </w:pPr>
            <w:r>
              <w:rPr>
                <w:sz w:val="24"/>
                <w:szCs w:val="24"/>
              </w:rPr>
              <w:t xml:space="preserve">Область</w:t>
            </w:r>
          </w:p>
        </w:tc>
        <w:tc>
          <w:tcPr>
            <w:vAlign w:val="center"/>
          </w:tcPr>
          <w:p>
            <w:pPr>
              <w:ind w:firstLine="0"/>
              <w:pStyle w:val="Compact"/>
              <w:jc w:val="center"/>
            </w:pPr>
            <w:r>
              <w:rPr>
                <w:sz w:val="24"/>
                <w:szCs w:val="24"/>
              </w:rPr>
              <w:t xml:space="preserve">Областной съезд Советов</w:t>
            </w:r>
          </w:p>
        </w:tc>
        <w:tc>
          <w:tcPr>
            <w:vAlign w:val="center"/>
          </w:tcPr>
          <w:p>
            <w:pPr>
              <w:ind w:firstLine="0"/>
              <w:pStyle w:val="Compact"/>
              <w:jc w:val="center"/>
            </w:pPr>
            <w:r>
              <w:rPr>
                <w:sz w:val="24"/>
                <w:szCs w:val="24"/>
              </w:rPr>
              <w:t xml:space="preserve">Областной исполнительный комитет</w:t>
            </w:r>
          </w:p>
        </w:tc>
      </w:tr>
      <w:tr>
        <w:tc>
          <w:tcPr>
            <w:vAlign w:val="center"/>
          </w:tcPr>
          <w:p>
            <w:pPr>
              <w:ind w:firstLine="0"/>
              <w:pStyle w:val="Compact"/>
              <w:jc w:val="center"/>
            </w:pPr>
            <w:r>
              <w:rPr>
                <w:sz w:val="24"/>
                <w:szCs w:val="24"/>
              </w:rPr>
              <w:t xml:space="preserve">Губерния</w:t>
            </w:r>
          </w:p>
        </w:tc>
        <w:tc>
          <w:tcPr>
            <w:vAlign w:val="center"/>
          </w:tcPr>
          <w:p>
            <w:pPr>
              <w:ind w:firstLine="0"/>
              <w:pStyle w:val="Compact"/>
              <w:jc w:val="center"/>
            </w:pPr>
            <w:r>
              <w:rPr>
                <w:sz w:val="24"/>
                <w:szCs w:val="24"/>
              </w:rPr>
              <w:t xml:space="preserve">Губернский съезд Советов</w:t>
            </w:r>
          </w:p>
        </w:tc>
        <w:tc>
          <w:tcPr>
            <w:vAlign w:val="center"/>
          </w:tcPr>
          <w:p>
            <w:pPr>
              <w:ind w:firstLine="0"/>
              <w:pStyle w:val="Compact"/>
              <w:jc w:val="center"/>
            </w:pPr>
            <w:r>
              <w:rPr>
                <w:sz w:val="24"/>
                <w:szCs w:val="24"/>
              </w:rPr>
              <w:t xml:space="preserve">Губернский исполнительный комитет</w:t>
            </w:r>
          </w:p>
        </w:tc>
      </w:tr>
      <w:tr>
        <w:tc>
          <w:tcPr>
            <w:vAlign w:val="center"/>
          </w:tcPr>
          <w:p>
            <w:pPr>
              <w:ind w:firstLine="0"/>
              <w:pStyle w:val="Compact"/>
              <w:jc w:val="center"/>
            </w:pPr>
            <w:r>
              <w:rPr>
                <w:sz w:val="24"/>
                <w:szCs w:val="24"/>
              </w:rPr>
              <w:t xml:space="preserve">Уезд</w:t>
            </w:r>
          </w:p>
        </w:tc>
        <w:tc>
          <w:tcPr>
            <w:vAlign w:val="center"/>
          </w:tcPr>
          <w:p>
            <w:pPr>
              <w:ind w:firstLine="0"/>
              <w:pStyle w:val="Compact"/>
              <w:jc w:val="center"/>
            </w:pPr>
            <w:r>
              <w:rPr>
                <w:sz w:val="24"/>
                <w:szCs w:val="24"/>
              </w:rPr>
              <w:t xml:space="preserve">Уездный съезд Советов</w:t>
            </w:r>
          </w:p>
        </w:tc>
        <w:tc>
          <w:tcPr>
            <w:vAlign w:val="center"/>
          </w:tcPr>
          <w:p>
            <w:pPr>
              <w:ind w:firstLine="0"/>
              <w:pStyle w:val="Compact"/>
              <w:jc w:val="center"/>
            </w:pPr>
            <w:r>
              <w:rPr>
                <w:sz w:val="24"/>
                <w:szCs w:val="24"/>
              </w:rPr>
              <w:t xml:space="preserve">Уездный исполнительный комитет</w:t>
            </w:r>
          </w:p>
        </w:tc>
      </w:tr>
      <w:tr>
        <w:tc>
          <w:tcPr>
            <w:vAlign w:val="center"/>
          </w:tcPr>
          <w:p>
            <w:pPr>
              <w:ind w:firstLine="0"/>
              <w:pStyle w:val="Compact"/>
              <w:jc w:val="center"/>
            </w:pPr>
            <w:r>
              <w:rPr>
                <w:sz w:val="24"/>
                <w:szCs w:val="24"/>
              </w:rPr>
              <w:t xml:space="preserve">Волость</w:t>
            </w:r>
          </w:p>
        </w:tc>
        <w:tc>
          <w:tcPr>
            <w:vAlign w:val="center"/>
          </w:tcPr>
          <w:p>
            <w:pPr>
              <w:ind w:firstLine="0"/>
              <w:pStyle w:val="Compact"/>
              <w:jc w:val="center"/>
            </w:pPr>
            <w:r>
              <w:rPr>
                <w:sz w:val="24"/>
                <w:szCs w:val="24"/>
              </w:rPr>
              <w:t xml:space="preserve">Волостной съезд Советов</w:t>
            </w:r>
          </w:p>
        </w:tc>
        <w:tc>
          <w:tcPr>
            <w:vAlign w:val="center"/>
          </w:tcPr>
          <w:p>
            <w:pPr>
              <w:ind w:firstLine="0"/>
              <w:pStyle w:val="Compact"/>
              <w:jc w:val="center"/>
            </w:pPr>
            <w:r>
              <w:rPr>
                <w:sz w:val="24"/>
                <w:szCs w:val="24"/>
              </w:rPr>
              <w:t xml:space="preserve">Волостной исполнительный комитет</w:t>
            </w:r>
          </w:p>
        </w:tc>
      </w:tr>
      <w:tr>
        <w:tc>
          <w:tcPr>
            <w:vAlign w:val="center"/>
          </w:tcPr>
          <w:p>
            <w:pPr>
              <w:ind w:firstLine="0"/>
              <w:pStyle w:val="Compact"/>
              <w:jc w:val="center"/>
            </w:pPr>
            <w:r>
              <w:rPr>
                <w:sz w:val="24"/>
                <w:szCs w:val="24"/>
              </w:rPr>
              <w:t xml:space="preserve">Город / Село</w:t>
            </w:r>
          </w:p>
        </w:tc>
        <w:tc>
          <w:tcPr>
            <w:vAlign w:val="center"/>
          </w:tcPr>
          <w:p>
            <w:pPr>
              <w:ind w:firstLine="0"/>
              <w:pStyle w:val="Compact"/>
              <w:jc w:val="center"/>
            </w:pPr>
            <w:r>
              <w:rPr>
                <w:sz w:val="24"/>
                <w:szCs w:val="24"/>
              </w:rPr>
              <w:t xml:space="preserve">Городской или сельский Совет</w:t>
            </w:r>
          </w:p>
        </w:tc>
        <w:tc>
          <w:tcPr>
            <w:vAlign w:val="center"/>
          </w:tcPr>
          <w:p>
            <w:pPr>
              <w:ind w:firstLine="0"/>
              <w:pStyle w:val="Compact"/>
              <w:jc w:val="center"/>
            </w:pPr>
            <w:r>
              <w:rPr>
                <w:sz w:val="24"/>
                <w:szCs w:val="24"/>
              </w:rPr>
              <w:t xml:space="preserve">Исполнительный комитет (президиум)</w:t>
            </w:r>
          </w:p>
        </w:tc>
      </w:tr>
    </w:tbl>
    <w:p>
      <w:pPr>
        <w:pStyle w:val="BodyText"/>
      </w:pPr>
      <w:r>
        <w:t xml:space="preserve">Конституция зафиксировала классовый характер выборов: избирательные права предоставлялись исключительно трудящимся, тогда как бывшие эксплуататорские классы лишались возможности участвовать в политической жизни. При этом нормы представительства обеспечивали значительный приоритет городским рабочим перед сельским населением, что гарантировало партии большевиков доминирующее положение во всех местных органах. В круг обязанностей местных Советов и съездов входило проведение в жизнь всех постановлений высших органов советской власти, принятие мер к поднятию данной территории в культурном и хозяйственном отношениях, а также разрешение вопросов чисто местного значения.</w:t>
      </w:r>
    </w:p>
    <w:p>
      <w:pPr>
        <w:pStyle w:val="BodyText"/>
      </w:pPr>
      <w:r>
        <w:t xml:space="preserve">Таким образом, за первый год советской власти местное управление претерпело глубокую эволюцию. Хаотичная децентрализация первых революционных месяцев, опиравшаяся на инициативу низовых Советов и вынужденное использование чрезвычайных комбедов, сменилась строгой иерархической моделью подчинения центру, которая была окончательно зафиксирована в Конституции РСФСР 1918 года.</w:t>
      </w:r>
    </w:p>
    <w:p>
      <w:r>
        <w:br w:type="page"/>
      </w:r>
    </w:p>
    <w:bookmarkEnd w:id="28"/>
    <w:bookmarkEnd w:id="29"/>
    <w:bookmarkStart w:id="30" w:name="sec-10"/>
    <w:p>
      <w:pPr>
        <w:spacing w:line="360" w:lineRule="auto" w:after="50" w:afterAutospacing="0" w:beforeAutospacing="0"/>
        <w:pStyle w:val="Heading1"/>
      </w:pPr>
      <w:r>
        <w:t xml:space="preserve">ЗАКЛЮЧЕНИЕ</w:t>
      </w:r>
    </w:p>
    <w:p>
      <w:pPr>
        <w:pStyle w:val="FirstParagraph"/>
      </w:pPr>
      <w:r>
        <w:t xml:space="preserve">Подводя итоги проведенного исследования, можно сделать вывод, что период с октября 1917 года по конец 1918 года стал определяющим этапом в формировании принципиально новой модели российской государственности. Ломка прежних государственно-правовых институтов и стремительное конструирование советского аппарата управления происходили в условиях глубокого цивилизационного раскола, экономического коллапса и начавшейся Гражданской войны. Проведенный историко-правовой анализ позволяет сформулировать несколько ключевых обобщений.</w:t>
      </w:r>
    </w:p>
    <w:p>
      <w:pPr>
        <w:pStyle w:val="BodyText"/>
      </w:pPr>
      <w:r>
        <w:t xml:space="preserve">Во-первых, ликвидация старого государственного аппарата носила бескомпромиссный и тотальный характер. Большевики отказались от принципа разделения властей, провозгласив вместо него идею полновластия Советов как работающих корпораций, одновременно принимающих законы и исполняющих их. Создание Совета Народных Комиссаров в качестве высшего органа исполнительной власти с широчайшими законодательными полномочиями и Всероссийского Центрального Исполнительного Комитета как высшего законодательного, распорядительного и контролирующего органа сформировало новую конфигурацию власти. Несмотря на декларируемый демократизм советской системы, на практике быстро возобладала тенденция к жесткой централизации, концентрации власти в руках партийно-государственной верхушки и постепенному вытеснению иных политических сил из системы управления.</w:t>
      </w:r>
    </w:p>
    <w:p>
      <w:pPr>
        <w:pStyle w:val="BodyText"/>
      </w:pPr>
      <w:r>
        <w:t xml:space="preserve">Во-вторых, слом дореволюционной юстиции и создание советской судебной системы наглядно продемонстрировали подчинение права политической целесообразности. Декреты о суде заложили основы новой системы народного правосудия и революционных трибуналов, где главным критерием вынесения решений стали революционная совесть и классовое сознание. Параллельно с этим происходило форсированное строительство Вооруженных сил — переход от добровольческого принципа к регулярной Рабоче-крестьянской Красной Армии на основе всеобщей воинской повинности, что позволило новой власти отстоять свое существование в условиях военного противостояния.</w:t>
      </w:r>
    </w:p>
    <w:p>
      <w:pPr>
        <w:pStyle w:val="BodyText"/>
      </w:pPr>
      <w:r>
        <w:t xml:space="preserve">В-третьих, процессы национализации промышленности, банков и земли не только подорвали экономическую базу прежних элит, но и превратили государство в монопольного собственника и распределителя ресурсов. Это заложило основы для формирования командно-административной системы. Организация органов власти на местах через систему местных Советов изначально предполагала широкое народное самоуправление, однако суровая реальность Гражданской войны потребовала выстраивания жесткой административной вертикали, в результате чего местные Советы постепенно утрачивали автономность и превращались в исполнителей директив центра.</w:t>
      </w:r>
    </w:p>
    <w:p>
      <w:pPr>
        <w:pStyle w:val="BodyText"/>
      </w:pPr>
      <w:r>
        <w:t xml:space="preserve">В-четвертых, правовым венцом данного этапа стало принятие Конституции РСФСР 1918 года. Будучи первым советским основным законом, она юридически закрепила диктатуру пролетариата, открыто провозгласила классовый характер государства и установила систему поражения в правах для так называемых «эксплуататорских элементов». Эта Конституция зафиксировала федеративный принцип государственного устройства и закрепила структуру советских органов власти от Всероссийского съезда Советов до местных комитетов.</w:t>
      </w:r>
    </w:p>
    <w:p>
      <w:pPr>
        <w:pStyle w:val="BodyText"/>
      </w:pPr>
      <w:r>
        <w:t xml:space="preserve">В заключение отметим, что государственный строй советского государства, сложившийся к концу 1918 года, представлял собой сочетание революционного идеализма и чрезвычайной прагматики. Сконструированная в этот период жестко централизованная партийно-государственная система, основанная на идеологии диктатуры пролетариата и подавления оппозиции, предопределила весь последующий вектор развития советского общества и государства, заложив институциональный фундамент советского строя на десятилетия вперед.</w:t>
      </w:r>
    </w:p>
    <w:p>
      <w:r>
        <w:br w:type="page"/>
      </w:r>
    </w:p>
    <w:bookmarkEnd w:id="30"/>
    <w:bookmarkStart w:id="31" w:name="bibliography"/>
    <w:p>
      <w:pPr>
        <w:spacing w:line="360" w:lineRule="auto" w:after="50" w:afterAutospacing="0" w:beforeAutospacing="0"/>
        <w:pStyle w:val="Heading1"/>
      </w:pPr>
      <w:r>
        <w:t xml:space="preserve">СПИСОК ИСПОЛЬЗОВАННЫХ ИСТОЧНИКОВ</w:t>
      </w:r>
    </w:p>
    <w:p>
      <w:pPr>
        <w:numPr>
          <w:ilvl w:val="0"/>
          <w:numId w:val="1002"/>
        </w:numPr>
        <w:pStyle w:val="Compact"/>
      </w:pPr>
      <w:r>
        <w:t xml:space="preserve">Создание советского государственного аппарата // spravochnick.ru [сайт]. URL: https://spravochnick.ru/istoriya_rossii/sozdanie_sovetskogo_gosudarstvennogo_apparata/ (дата обращения: 06.09.2026).</w:t>
      </w:r>
    </w:p>
    <w:p>
      <w:pPr>
        <w:numPr>
          <w:ilvl w:val="0"/>
          <w:numId w:val="1002"/>
        </w:numPr>
        <w:pStyle w:val="Compact"/>
      </w:pPr>
      <w:r>
        <w:t xml:space="preserve">Становление советского государственного аппарата и формирование советской бюрократии первых послереволюционных лет (1917-1920гг.) — | Статья в материалах</w:t>
      </w:r>
      <w:r>
        <w:t xml:space="preserve"> </w:t>
      </w:r>
      <w:r>
        <w:t xml:space="preserve">“</w:t>
      </w:r>
      <w:r>
        <w:t xml:space="preserve">Государство и право: теория и практика</w:t>
      </w:r>
      <w:r>
        <w:t xml:space="preserve">”</w:t>
      </w:r>
      <w:r>
        <w:t xml:space="preserve"> </w:t>
      </w:r>
      <w:r>
        <w:t xml:space="preserve">// moluch.ru [сайт]. URL: https://moluch.ru/conf/law/archive/37/652 (дата обращения: 06.09.2026).</w:t>
      </w:r>
    </w:p>
    <w:p>
      <w:pPr>
        <w:numPr>
          <w:ilvl w:val="0"/>
          <w:numId w:val="1002"/>
        </w:numPr>
        <w:pStyle w:val="Compact"/>
      </w:pPr>
      <w:r>
        <w:t xml:space="preserve">становление советского государственного аппарата в 1917 - 1920-е гг. | Презентация к уроку на тему: | Образовательная социальная сеть // nsportal.ru [сайт]. URL: https://nsportal.ru/npo-spo/sotsialnye-nauki/library/2017/02/15/stanovlenie-sovetskogo-gosudarstvennogo-apparata-v-1917 (дата обращения: 06.09.2026).</w:t>
      </w:r>
    </w:p>
    <w:p>
      <w:pPr>
        <w:numPr>
          <w:ilvl w:val="0"/>
          <w:numId w:val="1002"/>
        </w:numPr>
        <w:pStyle w:val="Compact"/>
      </w:pPr>
      <w:r>
        <w:t xml:space="preserve">Ирошников М. П. Создание советского центрального государственного аппарата | Военно-Ученый Архив // warlib.site [сайт]. URL: https://warlib.site/iroshnikov/ (дата обращения: 06.09.2026).</w:t>
      </w:r>
    </w:p>
    <w:p>
      <w:pPr>
        <w:numPr>
          <w:ilvl w:val="0"/>
          <w:numId w:val="1002"/>
        </w:numPr>
        <w:pStyle w:val="Compact"/>
      </w:pPr>
      <w:r>
        <w:t xml:space="preserve">Создание советской государственной системы (октябрь 1917- июль 1918г) // studfile.net [сайт]. URL: https://studfile.net/preview/16482530/page:7/ (дата обращения: 06.09.2026).</w:t>
      </w:r>
    </w:p>
    <w:p>
      <w:pPr>
        <w:numPr>
          <w:ilvl w:val="0"/>
          <w:numId w:val="1002"/>
        </w:numPr>
        <w:pStyle w:val="Compact"/>
      </w:pPr>
      <w:r>
        <w:t xml:space="preserve">Чупринова Т.А. Вчк в системе чрезвычайных органов управления советской России (1917−1918 гг. ) // Наука и школа. 2009.</w:t>
      </w:r>
    </w:p>
    <w:p>
      <w:pPr>
        <w:numPr>
          <w:ilvl w:val="0"/>
          <w:numId w:val="1002"/>
        </w:numPr>
        <w:pStyle w:val="Compact"/>
      </w:pPr>
      <w:r>
        <w:t xml:space="preserve">Штепа, Е. В., Верховный суд в системе судебной власти советской России : монография / Е. В. Штепа. — Москва : Русайнс, 2020. — 179 с. — ISBN 978-5-4365-5721-2.</w:t>
      </w:r>
    </w:p>
    <w:p>
      <w:pPr>
        <w:numPr>
          <w:ilvl w:val="0"/>
          <w:numId w:val="1002"/>
        </w:numPr>
        <w:pStyle w:val="Compact"/>
      </w:pPr>
      <w:r>
        <w:t xml:space="preserve">Зайцева Е.В. Становление и развитие советского государственного делопроизводства // Экономическая история. 2018.</w:t>
      </w:r>
    </w:p>
    <w:p>
      <w:pPr>
        <w:numPr>
          <w:ilvl w:val="0"/>
          <w:numId w:val="1002"/>
        </w:numPr>
        <w:pStyle w:val="Compact"/>
      </w:pPr>
      <w:r>
        <w:t xml:space="preserve">Иванченко, Ю. А. Система органов НКВД РСФСР в противодействии преступности в первое десятилетие советской власти (1917-1927 гг.) : учебное пособие / Ю. А. Иванченко, А. И. Абдрахманов, С. С. Гостев. — Москва : Русайнс, 2024. — 136 с. — ISBN 978-5-466-04717-2.</w:t>
      </w:r>
    </w:p>
    <w:p>
      <w:pPr>
        <w:numPr>
          <w:ilvl w:val="0"/>
          <w:numId w:val="1002"/>
        </w:numPr>
        <w:pStyle w:val="Compact"/>
      </w:pPr>
      <w:r>
        <w:t xml:space="preserve">Алексанян Н.А., Филоненко Т.В. Становление и деятельность власти Советов Воронежской губернии с октября 1917 г. До нашествия белых летом 1919 г // Манускрипт. 2016.</w:t>
      </w:r>
    </w:p>
    <w:p>
      <w:pPr>
        <w:numPr>
          <w:ilvl w:val="0"/>
          <w:numId w:val="1002"/>
        </w:numPr>
        <w:pStyle w:val="Compact"/>
      </w:pPr>
      <w:r>
        <w:t xml:space="preserve">Филиппов, П.А. Уголовное законодательство России: октябрь 1917 – май 1922 года. : Хрестоматия / П.А. Филиппов — Москва : Проспект, 2024. — 279 с. — ISBN 978-5-392-42692-8.</w:t>
      </w:r>
    </w:p>
    <w:p>
      <w:pPr>
        <w:numPr>
          <w:ilvl w:val="0"/>
          <w:numId w:val="1002"/>
        </w:numPr>
        <w:pStyle w:val="Compact"/>
      </w:pPr>
      <w:r>
        <w:t xml:space="preserve">Плетников В.С. МОДЕЛЬ СОВЕТСКОГО ГОСУДАРСТВА И ЭВОЛЮЦИЯ КОНСТИТУЦИОННОГО СТРОЯ: ИНСТИТУЦИОНАЛЬНЫЙ ПОДХОД // Вестник Уральского юридического института МВД России. 2021.</w:t>
      </w:r>
    </w:p>
    <w:p>
      <w:pPr>
        <w:numPr>
          <w:ilvl w:val="0"/>
          <w:numId w:val="1002"/>
        </w:numPr>
        <w:pStyle w:val="Compact"/>
      </w:pPr>
      <w:r>
        <w:t xml:space="preserve">Солодилов, А. В., Становление и развитие государственной службы в России : монография / А. В. Солодилов. — Москва : Русайнс, 2019. — 186 с. — ISBN 978-5-4365-3883-9.</w:t>
      </w:r>
    </w:p>
    <w:p>
      <w:pPr>
        <w:numPr>
          <w:ilvl w:val="0"/>
          <w:numId w:val="1002"/>
        </w:numPr>
        <w:pStyle w:val="Compact"/>
      </w:pPr>
      <w:r>
        <w:t xml:space="preserve">Шульженко Ю.Л. Исследование проблем парламентаризма в советский период // Труды Института государства и права Российской академии наук. 2017.</w:t>
      </w:r>
    </w:p>
    <w:p>
      <w:pPr>
        <w:numPr>
          <w:ilvl w:val="0"/>
          <w:numId w:val="1002"/>
        </w:numPr>
        <w:pStyle w:val="Compact"/>
      </w:pPr>
      <w:r>
        <w:t xml:space="preserve">Максимов, Н. А. Беспилотные аппараты + еПриложение : учебник / Н. А. Максимов. — Москва : КноРус, 2027. — 393 с. — ISBN 978-5-406-16863-9.</w:t>
      </w:r>
    </w:p>
    <w:p>
      <w:pPr>
        <w:numPr>
          <w:ilvl w:val="0"/>
          <w:numId w:val="1002"/>
        </w:numPr>
        <w:pStyle w:val="Compact"/>
      </w:pPr>
      <w:r>
        <w:t xml:space="preserve">Морозова Е.Н., Раскин Д.И. Становление Советской государственности: использование имперского наследия в сфере центрального управления // Новейшая история России. 2017.</w:t>
      </w:r>
    </w:p>
    <w:p>
      <w:pPr>
        <w:numPr>
          <w:ilvl w:val="0"/>
          <w:numId w:val="1002"/>
        </w:numPr>
        <w:pStyle w:val="Compact"/>
      </w:pPr>
      <w:r>
        <w:t xml:space="preserve">Беспилотные аппараты + еПриложение : учебник / А. Е. Белик, В. В. Чугунов, В. А. Максимов [и др.] ; под общ. ред. Н. А. Максимова. — Москва : КноРус, 2026. — 393 с. — ISBN 978-5-406-15972-9.</w:t>
      </w:r>
    </w:p>
    <w:p>
      <w:pPr>
        <w:numPr>
          <w:ilvl w:val="0"/>
          <w:numId w:val="1002"/>
        </w:numPr>
        <w:pStyle w:val="Compact"/>
      </w:pPr>
      <w:r>
        <w:t xml:space="preserve">Данилевская И.Л. ПЕРВЫЕ СОВЕТСКИЕ ЗАКОНОДАТЕЛЬНЫЕ АКТЫ В ФОРМИРОВАНИИ СОВЕТСКОГО КОНСТИТУЦИОНАЛИЗМА // Образование и право. 2021.</w:t>
      </w:r>
    </w:p>
    <w:p>
      <w:pPr>
        <w:numPr>
          <w:ilvl w:val="0"/>
          <w:numId w:val="1002"/>
        </w:numPr>
        <w:pStyle w:val="Compact"/>
      </w:pPr>
      <w:r>
        <w:t xml:space="preserve">Мельников П.А. ФОРМИРОВАНИЕ КОНСТИТУЦИОННЫХ ОСНОВ ВЫБОРНОСТИ В СОВЕТСКОЙ РОССИИ // Право и практика. 2024.</w:t>
      </w:r>
    </w:p>
    <w:p>
      <w:pPr>
        <w:numPr>
          <w:ilvl w:val="0"/>
          <w:numId w:val="1002"/>
        </w:numPr>
        <w:pStyle w:val="Compact"/>
      </w:pPr>
      <w:r>
        <w:t xml:space="preserve">Россинский С.Б. ФОРМИРОВАНИЕ И РАЗВИТИЕ УГОЛОВНОЙ ЮСТИЦИИ В ПЕРВЫЕ ГОДЫ СОВЕТСКОЙ ВЛАСТИ // Труды Института государства и права Российской академии наук. 2022.</w:t>
      </w:r>
    </w:p>
    <w:p>
      <w:pPr>
        <w:numPr>
          <w:ilvl w:val="0"/>
          <w:numId w:val="1002"/>
        </w:numPr>
        <w:pStyle w:val="Compact"/>
      </w:pPr>
      <w:r>
        <w:t xml:space="preserve">Кроткова Н.В. ОТРАЖЕНИЕ СТАНОВЛЕНИЯ СОВЕТСКОГО ПРАВА И ГОСУДАРСТВЕННОГО АППАРАТА В ЮРИДИЧЕСКИХ ЖУРНАЛАХ ПЕРВЫХ ДЕСЯТИЛЕТИЙ СОВЕТСКОЙ ВЛАСТИ // Право и государство: теория и практика. 2018.</w:t>
      </w:r>
    </w:p>
    <w:p>
      <w:pPr>
        <w:numPr>
          <w:ilvl w:val="0"/>
          <w:numId w:val="1002"/>
        </w:numPr>
        <w:pStyle w:val="Compact"/>
      </w:pPr>
      <w:r>
        <w:t xml:space="preserve">Дианов А.Г. Рабоче-крестьянская инспекция и проблема контроля за деятельностью госаппарата в Сибири в 1920 г // Вестник Томского государственного университета. 2011.</w:t>
      </w:r>
    </w:p>
    <w:p>
      <w:pPr>
        <w:numPr>
          <w:ilvl w:val="0"/>
          <w:numId w:val="1002"/>
        </w:numPr>
        <w:pStyle w:val="Compact"/>
      </w:pPr>
      <w:r>
        <w:t xml:space="preserve">Туфанов Е.В. К вопросу об источниках рекрутирования региональных управленцев в 1920 - 1930-е гг. На материалах Северного Кавказа // Вестник Калмыцкого университета. 2018.</w:t>
      </w:r>
    </w:p>
    <w:p>
      <w:pPr>
        <w:numPr>
          <w:ilvl w:val="0"/>
          <w:numId w:val="1002"/>
        </w:numPr>
        <w:pStyle w:val="Compact"/>
      </w:pPr>
      <w:r>
        <w:t xml:space="preserve">Туфанов Е.В. КАДРЫ РЕГИОНАЛЬНЫХ ОРГАНОВ УПРАВЛЕНИЯ: СТАНОВЛЕНИЕ И РАЗВИТИЕ В 1920-1930-Е ГГ. (НА МАТЕРИАЛАХ СЕВЕРНОГО КАВКАЗА) // Современная научная мысль. 2018.</w:t>
      </w:r>
    </w:p>
    <w:p>
      <w:pPr>
        <w:numPr>
          <w:ilvl w:val="0"/>
          <w:numId w:val="1002"/>
        </w:numPr>
        <w:pStyle w:val="Compact"/>
      </w:pPr>
      <w:r>
        <w:t xml:space="preserve">Туфанов Е.В., Кравченко И.Н. Партийное образование как элемент становления национальной партийногосударственной номенклатуры в 1920-1930-е гг. (на материалах Северного Кавказа) // Научная мысль Кавказа. 2018.</w:t>
      </w:r>
    </w:p>
    <w:p>
      <w:pPr>
        <w:numPr>
          <w:ilvl w:val="0"/>
          <w:numId w:val="1002"/>
        </w:numPr>
        <w:pStyle w:val="Compact"/>
      </w:pPr>
      <w:r>
        <w:t xml:space="preserve">Аполлонский, С. М. Электрические машины и аппараты. : учебное пособие / С. М. Аполлонский. — Москва : КноРус, 2026. — 390 с. — ISBN 978-5-406-15264-5.</w:t>
      </w:r>
    </w:p>
    <w:p>
      <w:pPr>
        <w:numPr>
          <w:ilvl w:val="0"/>
          <w:numId w:val="1002"/>
        </w:numPr>
        <w:pStyle w:val="Compact"/>
      </w:pPr>
      <w:r>
        <w:t xml:space="preserve">Леонид Г.Б. ПЕРВЫЕ ДЕКРЕТЫ СОВЕТСКОЙ ВЛАСТИ И ФОРМИРОВАНИЕ ГОСУДАРСТВЕННО-ПРАВОВЫХ ОСНОВ СОВЕТСКОГО АГРАРНОГО СТРОЯ // Труды Института государства и права Российской академии наук. 2023.</w:t>
      </w:r>
    </w:p>
    <w:p>
      <w:pPr>
        <w:numPr>
          <w:ilvl w:val="0"/>
          <w:numId w:val="1002"/>
        </w:numPr>
        <w:pStyle w:val="Compact"/>
      </w:pPr>
      <w:r>
        <w:t xml:space="preserve">Лахмаков, В. Л. Английский язык: беспилотные летательные аппараты. Практикум : учебное пособие / В. Л. Лахмаков. — Москва : КноРус, 2026. — 298 с. — ISBN 978-5-406-14994-2.</w:t>
      </w:r>
    </w:p>
    <w:p>
      <w:pPr>
        <w:numPr>
          <w:ilvl w:val="0"/>
          <w:numId w:val="1002"/>
        </w:numPr>
        <w:pStyle w:val="Compact"/>
      </w:pPr>
      <w:r>
        <w:t xml:space="preserve">Балыко Т.А. ВОЗНИКНОВЕНИЕ И ДЕЯТЕЛЬНОСТЬ ЕЛЕЦКОЙ АВТОКЕФАЛИИ В ОРЛОВСКОЙ ЕПАРХИИ НАЧАЛА 1920-Х ГГ.: ИСТОРИЯ СОПРОТИВЛЕНИЯ ОБНОВЛЕНЧЕСКОМУ РАСКОЛУ В РУССКОЙ ПРАВОСЛАВНОЙ ЦЕРКВИ // Вестник Православного Свято-Тихоновского гуманитарного университета. Серия 2: История. История Русской Православной Церкви. 2024.</w:t>
      </w:r>
    </w:p>
    <w:p>
      <w:pPr>
        <w:numPr>
          <w:ilvl w:val="0"/>
          <w:numId w:val="1002"/>
        </w:numPr>
        <w:pStyle w:val="Compact"/>
      </w:pPr>
      <w:r>
        <w:t xml:space="preserve">Бураго, С. Г. Аэродинамика летательных аппаратов : учебник / С. Г. Бураго. — Москва : Русайнс, 2026. — 173 с. — ISBN 978-5-466-09593-7.</w:t>
      </w:r>
    </w:p>
    <w:bookmarkEnd w:id="31"/>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2026-09-06T11:28:42Z</dcterms:created>
  <dcterms:modified xsi:type="dcterms:W3CDTF">2026-09-06T11:28:42Z</dcterms:modified>
</cp:coreProperties>
</file>

<file path=docProps/custom.xml><?xml version="1.0" encoding="utf-8"?>
<Properties xmlns="http://schemas.openxmlformats.org/officeDocument/2006/custom-properties" xmlns:vt="http://schemas.openxmlformats.org/officeDocument/2006/docPropsVTypes"/>
</file>