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0.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ind w:firstLine="0"/>
      </w:pPr>
      <w:r>
        <w:t>Наименование образовательного учреждения</w:t>
      </w:r>
    </w:p>
    <w:p>
      <w:pPr>
        <w:jc w:val="center"/>
        <w:spacing w:before="2400"/>
        <w:ind w:firstLine="0"/>
      </w:pPr>
      <w:r>
        <w:rPr>
          <w:b/>
          <w:sz w:val="56"/>
          <w:szCs w:val="56"/>
        </w:rPr>
        <w:t>Доклад</w:t>
      </w:r>
    </w:p>
    <w:p>
      <w:pPr>
        <w:jc w:val="center"/>
        <w:ind w:firstLine="0"/>
      </w:pPr>
      <w:r>
        <w:t>на тему</w:t>
      </w:r>
    </w:p>
    <w:p>
      <w:pPr>
        <w:jc w:val="center"/>
        <w:spacing w:before="240"/>
        <w:ind w:firstLine="0"/>
      </w:pPr>
      <w:r>
        <w:rPr>
          <w:b/>
          <w:sz w:val="28"/>
          <w:szCs w:val="28"/>
        </w:rPr>
        <w:t>ЭКОЛОГИЗАЦИЯ МЕГАПОЛИСОВ: ВОЗОБНОВЛЯЕМАЯ ЭНЕРГЕТИКА, ПЕРЕРАБОТКА ОТХОДОВ И УГЛЕРОДНЫЙ СЛЕД</w:t>
      </w:r>
    </w:p>
    <w:p>
      <w:pPr>
        <w:spacing w:before="3600"/>
        <w:ind w:firstLine="0"/>
      </w:pPr>
    </w:p>
    <w:p>
      <w:pPr>
        <w:jc w:val="left"/>
        <w:ind w:left="6500" w:firstLine="0"/>
      </w:pPr>
      <w:r>
        <w:t>Выполнил:</w:t>
      </w:r>
    </w:p>
    <w:p>
      <w:pPr>
        <w:jc w:val="left"/>
        <w:ind w:left="6500" w:firstLine="0"/>
      </w:pPr>
      <w:r>
        <w:t>ФИО</w:t>
      </w:r>
    </w:p>
    <w:p>
      <w:pPr>
        <w:spacing w:before="240"/>
        <w:ind w:firstLine="0"/>
      </w:pPr>
    </w:p>
    <w:p>
      <w:pPr>
        <w:jc w:val="left"/>
        <w:ind w:left="6500" w:firstLine="0"/>
      </w:pPr>
      <w:r>
        <w:t>Руководитель:</w:t>
      </w:r>
    </w:p>
    <w:p>
      <w:pPr>
        <w:jc w:val="left"/>
        <w:ind w:left="6500" w:firstLine="0"/>
      </w:pPr>
      <w:r>
        <w:t>ФИО</w:t>
      </w:r>
    </w:p>
    <w:p>
      <w:pPr>
        <w:sectPr>
          <w:footerReference w:type="default" r:id="rId9"/>
          <w:pgSz w:w="11906" w:h="16838" w:orient="portrait"/>
          <w:pgMar w:top="1134" w:right="851" w:bottom="1134" w:left="1701" w:header="708" w:footer="708" w:gutter="0"/>
          <w:type w:val="nextPage"/>
        </w:sectPr>
      </w:pPr>
    </w:p>
    <w:bookmarkStart w:id="20" w:name="toc"/>
    <w:p>
      <w:pPr>
        <w:spacing w:line="360" w:lineRule="auto" w:after="50" w:afterAutospacing="0" w:beforeAutospacing="0"/>
        <w:pStyle w:val="Heading1"/>
      </w:pPr>
      <w:r>
        <w:t xml:space="preserve">СОДЕРЖАНИЕ</w:t>
      </w:r>
    </w:p>
    <w:p>
      <w:pPr>
        <w:jc w:val="left"/>
        <w:ind w:firstLine="0"/>
        <w:tabs>
          <w:tab w:val="right" w:leader="dot" w:pos="9354"/>
        </w:tabs>
      </w:pPr>
      <w:hyperlink w:anchor="sec-1" w:history="1">
        <w:r>
          <w:rPr>
            <w:color w:val="000000"/>
            <w:u w:val="none"/>
            <w:rStyle w:val="Hyperlink"/>
          </w:rPr>
          <w:t>ВВЕДЕНИЕ</w:t>
        </w:r>
      </w:hyperlink>
      <w:r>
        <w:tab/>
      </w:r>
      <w:r>
        <w:rPr>
          <w:shd w:val="clear" w:color="auto" w:fill="FFFFFF"/>
        </w:rPr>
        <w:fldChar w:fldCharType="begin"/>
      </w:r>
      <w:r>
        <w:rPr>
          <w:shd w:val="clear" w:color="auto" w:fill="FFFFFF"/>
        </w:rPr>
        <w:instrText xml:space="preserve"> PAGEREF sec-1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2" w:history="1">
        <w:r>
          <w:rPr>
            <w:color w:val="000000"/>
            <w:u w:val="none"/>
            <w:rStyle w:val="Hyperlink"/>
          </w:rPr>
          <w:t>1. Экологические проблемы современных мегаполисов</w:t>
        </w:r>
      </w:hyperlink>
      <w:r>
        <w:tab/>
      </w:r>
      <w:r>
        <w:rPr>
          <w:shd w:val="clear" w:color="auto" w:fill="FFFFFF"/>
        </w:rPr>
        <w:fldChar w:fldCharType="begin"/>
      </w:r>
      <w:r>
        <w:rPr>
          <w:shd w:val="clear" w:color="auto" w:fill="FFFFFF"/>
        </w:rPr>
        <w:instrText xml:space="preserve"> PAGEREF sec-2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3" w:history="1">
        <w:r>
          <w:rPr>
            <w:color w:val="000000"/>
            <w:u w:val="none"/>
            <w:rStyle w:val="Hyperlink"/>
          </w:rPr>
          <w:t>2. Роль возобновляемых источников энергии</w:t>
        </w:r>
      </w:hyperlink>
      <w:r>
        <w:tab/>
      </w:r>
      <w:r>
        <w:rPr>
          <w:shd w:val="clear" w:color="auto" w:fill="FFFFFF"/>
        </w:rPr>
        <w:fldChar w:fldCharType="begin"/>
      </w:r>
      <w:r>
        <w:rPr>
          <w:shd w:val="clear" w:color="auto" w:fill="FFFFFF"/>
        </w:rPr>
        <w:instrText xml:space="preserve"> PAGEREF sec-3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4" w:history="1">
        <w:r>
          <w:rPr>
            <w:color w:val="000000"/>
            <w:u w:val="none"/>
            <w:rStyle w:val="Hyperlink"/>
          </w:rPr>
          <w:t>3. Технологии интеграции альтернативной генерации</w:t>
        </w:r>
      </w:hyperlink>
      <w:r>
        <w:tab/>
      </w:r>
      <w:r>
        <w:rPr>
          <w:shd w:val="clear" w:color="auto" w:fill="FFFFFF"/>
        </w:rPr>
        <w:fldChar w:fldCharType="begin"/>
      </w:r>
      <w:r>
        <w:rPr>
          <w:shd w:val="clear" w:color="auto" w:fill="FFFFFF"/>
        </w:rPr>
        <w:instrText xml:space="preserve"> PAGEREF sec-4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5" w:history="1">
        <w:r>
          <w:rPr>
            <w:color w:val="000000"/>
            <w:u w:val="none"/>
            <w:rStyle w:val="Hyperlink"/>
          </w:rPr>
          <w:t>4. Кризис накопления муниципальных отходов</w:t>
        </w:r>
      </w:hyperlink>
      <w:r>
        <w:tab/>
      </w:r>
      <w:r>
        <w:rPr>
          <w:shd w:val="clear" w:color="auto" w:fill="FFFFFF"/>
        </w:rPr>
        <w:fldChar w:fldCharType="begin"/>
      </w:r>
      <w:r>
        <w:rPr>
          <w:shd w:val="clear" w:color="auto" w:fill="FFFFFF"/>
        </w:rPr>
        <w:instrText xml:space="preserve"> PAGEREF sec-5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6" w:history="1">
        <w:r>
          <w:rPr>
            <w:color w:val="000000"/>
            <w:u w:val="none"/>
            <w:rStyle w:val="Hyperlink"/>
          </w:rPr>
          <w:t>5. Системы раздельного сбора и сортировки</w:t>
        </w:r>
      </w:hyperlink>
      <w:r>
        <w:tab/>
      </w:r>
      <w:r>
        <w:rPr>
          <w:shd w:val="clear" w:color="auto" w:fill="FFFFFF"/>
        </w:rPr>
        <w:fldChar w:fldCharType="begin"/>
      </w:r>
      <w:r>
        <w:rPr>
          <w:shd w:val="clear" w:color="auto" w:fill="FFFFFF"/>
        </w:rPr>
        <w:instrText xml:space="preserve"> PAGEREF sec-6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7" w:history="1">
        <w:r>
          <w:rPr>
            <w:color w:val="000000"/>
            <w:u w:val="none"/>
            <w:rStyle w:val="Hyperlink"/>
          </w:rPr>
          <w:t>6. Методы переработки и утилизации мусора</w:t>
        </w:r>
      </w:hyperlink>
      <w:r>
        <w:tab/>
      </w:r>
      <w:r>
        <w:rPr>
          <w:shd w:val="clear" w:color="auto" w:fill="FFFFFF"/>
        </w:rPr>
        <w:fldChar w:fldCharType="begin"/>
      </w:r>
      <w:r>
        <w:rPr>
          <w:shd w:val="clear" w:color="auto" w:fill="FFFFFF"/>
        </w:rPr>
        <w:instrText xml:space="preserve"> PAGEREF sec-7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8" w:history="1">
        <w:r>
          <w:rPr>
            <w:color w:val="000000"/>
            <w:u w:val="none"/>
            <w:rStyle w:val="Hyperlink"/>
          </w:rPr>
          <w:t>7. Оценка углеродного следа городской инфраструктуры</w:t>
        </w:r>
      </w:hyperlink>
      <w:r>
        <w:tab/>
      </w:r>
      <w:r>
        <w:rPr>
          <w:shd w:val="clear" w:color="auto" w:fill="FFFFFF"/>
        </w:rPr>
        <w:fldChar w:fldCharType="begin"/>
      </w:r>
      <w:r>
        <w:rPr>
          <w:shd w:val="clear" w:color="auto" w:fill="FFFFFF"/>
        </w:rPr>
        <w:instrText xml:space="preserve"> PAGEREF sec-8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9" w:history="1">
        <w:r>
          <w:rPr>
            <w:color w:val="000000"/>
            <w:u w:val="none"/>
            <w:rStyle w:val="Hyperlink"/>
          </w:rPr>
          <w:t>8. Стратегии снижения выбросов парниковых газов</w:t>
        </w:r>
      </w:hyperlink>
      <w:r>
        <w:tab/>
      </w:r>
      <w:r>
        <w:rPr>
          <w:shd w:val="clear" w:color="auto" w:fill="FFFFFF"/>
        </w:rPr>
        <w:fldChar w:fldCharType="begin"/>
      </w:r>
      <w:r>
        <w:rPr>
          <w:shd w:val="clear" w:color="auto" w:fill="FFFFFF"/>
        </w:rPr>
        <w:instrText xml:space="preserve"> PAGEREF sec-9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10" w:history="1">
        <w:r>
          <w:rPr>
            <w:color w:val="000000"/>
            <w:u w:val="none"/>
            <w:rStyle w:val="Hyperlink"/>
          </w:rPr>
          <w:t>9. Опыт экологически чистых городов мира</w:t>
        </w:r>
      </w:hyperlink>
      <w:r>
        <w:tab/>
      </w:r>
      <w:r>
        <w:rPr>
          <w:shd w:val="clear" w:color="auto" w:fill="FFFFFF"/>
        </w:rPr>
        <w:fldChar w:fldCharType="begin"/>
      </w:r>
      <w:r>
        <w:rPr>
          <w:shd w:val="clear" w:color="auto" w:fill="FFFFFF"/>
        </w:rPr>
        <w:instrText xml:space="preserve"> PAGEREF sec-10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11" w:history="1">
        <w:r>
          <w:rPr>
            <w:color w:val="000000"/>
            <w:u w:val="none"/>
            <w:rStyle w:val="Hyperlink"/>
          </w:rPr>
          <w:t>ЗАКЛЮЧЕНИЕ</w:t>
        </w:r>
      </w:hyperlink>
      <w:r>
        <w:tab/>
      </w:r>
      <w:r>
        <w:rPr>
          <w:shd w:val="clear" w:color="auto" w:fill="FFFFFF"/>
        </w:rPr>
        <w:fldChar w:fldCharType="begin"/>
      </w:r>
      <w:r>
        <w:rPr>
          <w:shd w:val="clear" w:color="auto" w:fill="FFFFFF"/>
        </w:rPr>
        <w:instrText xml:space="preserve"> PAGEREF sec-11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bibliography" w:history="1">
        <w:r>
          <w:rPr>
            <w:color w:val="000000"/>
            <w:u w:val="none"/>
            <w:rStyle w:val="Hyperlink"/>
          </w:rPr>
          <w:t>СПИСОК ИСПОЛЬЗОВАННЫХ ИСТОЧНИКОВ</w:t>
        </w:r>
      </w:hyperlink>
      <w:r>
        <w:tab/>
      </w:r>
      <w:r>
        <w:rPr>
          <w:shd w:val="clear" w:color="auto" w:fill="FFFFFF"/>
        </w:rPr>
        <w:fldChar w:fldCharType="begin"/>
      </w:r>
      <w:r>
        <w:rPr>
          <w:shd w:val="clear" w:color="auto" w:fill="FFFFFF"/>
        </w:rPr>
        <w:instrText xml:space="preserve"> PAGEREF bibliography \h </w:instrText>
      </w:r>
      <w:r>
        <w:rPr>
          <w:shd w:val="clear" w:color="auto" w:fill="FFFFFF"/>
        </w:rPr>
        <w:fldChar w:fldCharType="separate"/>
      </w:r>
      <w:r>
        <w:rPr>
          <w:shd w:val="clear" w:color="auto" w:fill="FFFFFF"/>
        </w:rPr>
        <w:t>1</w:t>
      </w:r>
      <w:r>
        <w:rPr>
          <w:shd w:val="clear" w:color="auto" w:fill="FFFFFF"/>
        </w:rPr>
        <w:fldChar w:fldCharType="end"/>
      </w:r>
    </w:p>
    <w:p>
      <w:pPr>
        <w:sectPr>
          <w:footerReference w:type="default" r:id="rId10"/>
          <w:pgSz w:w="11906" w:h="16838" w:orient="portrait"/>
          <w:pgMar w:top="1134" w:right="851" w:bottom="1134" w:left="1701" w:header="708" w:footer="708" w:gutter="0"/>
          <w:type w:val="nextPage"/>
        </w:sectPr>
      </w:pPr>
    </w:p>
    <w:bookmarkEnd w:id="20"/>
    <w:bookmarkStart w:id="30" w:name="sec-1"/>
    <w:p>
      <w:pPr>
        <w:spacing w:line="360" w:lineRule="auto" w:after="50" w:afterAutospacing="0" w:beforeAutospacing="0"/>
        <w:pStyle w:val="Heading1"/>
      </w:pPr>
      <w:r>
        <w:t xml:space="preserve">ВВЕДЕНИЕ</w:t>
      </w:r>
    </w:p>
    <w:p>
      <w:pPr>
        <w:pStyle w:val="FirstParagraph"/>
      </w:pPr>
      <w:r>
        <w:rPr>
          <w:bCs/>
          <w:b/>
        </w:rPr>
        <w:t xml:space="preserve">Актуальность темы</w:t>
      </w:r>
      <w:r>
        <w:t xml:space="preserve"> </w:t>
      </w:r>
      <w:r>
        <w:t xml:space="preserve">обусловлена беспрецедентными темпами глобальной урбанизации, которая превращает современные мегаполисы в ключевые центры потребления ресурсов и главные источники антропогенной нагрузки на климатическую систему Земли. Концентрация населения, промышленности и транспортных потоков в крупных городах неизбежно ведет к критическому накоплению коммунальных отходов, нехватке чистой электроэнергии и росту выбросов парниковых газов. Переход городского хозяйства на экологические рельсы, подразумевающий активное освоение возобновляемых источников энергии, оптимизацию процессов сбора, сортировки и вторичной переработки мусора, а также целенаправленное снижение совокупного углеродного следа, представляет собой важнейшую научно-практическую задачу для обеспечения долгосрочной жизнеспособности городов.</w:t>
      </w:r>
    </w:p>
    <w:p>
      <w:pPr>
        <w:pStyle w:val="BodyText"/>
      </w:pPr>
      <w:r>
        <w:rPr>
          <w:bCs/>
          <w:b/>
        </w:rPr>
        <w:t xml:space="preserve">Целью работы</w:t>
      </w:r>
      <w:r>
        <w:t xml:space="preserve"> </w:t>
      </w:r>
      <w:r>
        <w:t xml:space="preserve">является комплексное теоретическое и прикладное исследование механизмов минимизации экологической нагрузки мегаполисов на окружающую среду на основе интеграции альтернативной энергетики, внедрения концепции безотходного производства при обращении с твердыми бытовыми отходами и декарбонизации городской инфраструктуры.</w:t>
      </w:r>
    </w:p>
    <w:p>
      <w:pPr>
        <w:pStyle w:val="BodyText"/>
      </w:pPr>
      <w:r>
        <w:rPr>
          <w:bCs/>
          <w:b/>
        </w:rPr>
        <w:t xml:space="preserve">Задачи работы</w:t>
      </w:r>
      <w:r>
        <w:t xml:space="preserve"> </w:t>
      </w:r>
      <w:r>
        <w:t xml:space="preserve">включают в себя последовательное решение следующих исследовательских вопросов: во-первых, проведение детального анализа существующих технологий интеграции возобновляемой генерации в электросеть мегаполиса; во-вторых, изучение лучших мировых практик раздельного сбора, механической сортировки и глубокой химической или термической переработки бытовых отходов; в-третьих, рассмотрение существующих методологий количественной оценки прямого и косвенного углеродного следа городской инфраструктуры; в-четвертых, формулирование рекомендаций по внедрению устойчивых моделей циркулярной экономики в сферу муниципального управления.</w:t>
      </w:r>
    </w:p>
    <w:p>
      <w:pPr>
        <w:pStyle w:val="BodyText"/>
      </w:pPr>
      <w:r>
        <w:rPr>
          <w:bCs/>
          <w:b/>
        </w:rPr>
        <w:t xml:space="preserve">Объектом исследования</w:t>
      </w:r>
      <w:r>
        <w:t xml:space="preserve"> </w:t>
      </w:r>
      <w:r>
        <w:t xml:space="preserve">выступают инженерно-технические, логистические и экономические системы энергоснабжения и обращения с отходами в границах современных урбанизированных территорий с высокой плотностью населения и развитой промышленностью.</w:t>
      </w:r>
    </w:p>
    <w:p>
      <w:pPr>
        <w:pStyle w:val="BodyText"/>
      </w:pPr>
      <w:r>
        <w:rPr>
          <w:bCs/>
          <w:b/>
        </w:rPr>
        <w:t xml:space="preserve">Методы исследования</w:t>
      </w:r>
      <w:r>
        <w:t xml:space="preserve"> </w:t>
      </w:r>
      <w:r>
        <w:t xml:space="preserve">базируются на всестороннем изучении академической литературы, включающей научные статьи, монографии и аналитические доклады международных институтов по охране окружающей среды. В ходе работы использовались методы системного и структурно-функционального анализа, классификации, сопоставления статистических данных и обобщения передового практического опыта декарбонизации городского пространства.</w:t>
      </w:r>
    </w:p>
    <w:p>
      <w:r>
        <w:br w:type="page"/>
      </w:r>
    </w:p>
    <w:bookmarkStart w:id="21" w:name="sec-2"/>
    <w:p>
      <w:pPr>
        <w:spacing w:line="360" w:lineRule="auto" w:after="40" w:afterAutospacing="0" w:beforeAutospacing="0"/>
        <w:pStyle w:val="Heading2"/>
      </w:pPr>
      <w:r>
        <w:t xml:space="preserve">1. Экологические проблемы современных мегаполисов</w:t>
      </w:r>
    </w:p>
    <w:p>
      <w:pPr>
        <w:pStyle w:val="FirstParagraph"/>
      </w:pPr>
      <w:r>
        <w:t xml:space="preserve">Урбанизация XXI века превратила мегаполисы в эпицентры не только экономической и культурной активности, но и беспрецедентного антропогенного давления на биосферу. Концентрация миллионов людей на относительно ограниченных территориях кардинально трансформирует естественные ландшафты, создавая искусственные геосистемы со специфическим микроклиматом и нарушенным экологическим балансом. Ключевая экологическая проблема современных сверхкрупных городов заключается в диспропорции между колоссальным потреблением ресурсов (энергии, воды, сырья) и объемом производимых ими загрязнений и отходов.</w:t>
      </w:r>
    </w:p>
    <w:p>
      <w:pPr>
        <w:pStyle w:val="BodyText"/>
      </w:pPr>
      <w:r>
        <w:t xml:space="preserve">Одной из наиболее острых угроз качеству жизни населения остается масштабное загрязнение атмосферного воздуха. Выбросы автотранспорта, промышленных предприятий и теплоэлектростанций насыщают городскую атмосферу оксидами азота, диоксидом серы, угарным газом и, что особенно опасно, мелкодисперсными взвешенными частицами (PM2.5 и PM10). Данные загрязнители провоцируют формирование смога, ухудшают видимость и вызывают серьезные респираторные и сердечно-сосудистые заболевания у жителей. Данную проблему существенно усугубляет эффект «городского острова тепла» [10], при котором плотная асфальтобетонная застройка поглощает и аккумулирует солнечное излучение, повышая температуру воздуха в центрах мегаполисов на несколько градусов по сравнению с прилегающими загородными территориями.</w:t>
      </w:r>
    </w:p>
    <w:p>
      <w:pPr>
        <w:pStyle w:val="BodyText"/>
      </w:pPr>
      <w:r>
        <w:t xml:space="preserve">Не менее критическим вызовом является кризис управления ресурсопотоками и отходами. Потоки коммунально-бытовых сточных вод и ливневый сток, насыщенный нефтепродуктами и тяжелыми металлами, перегружают очистные сооружения и ведут к деградации близлежащих водных объектов. Одновременно с этим колоссальные объемы образующихся твердых коммунальных отходов [16] создают постоянную угрозу отчуждения плодородных земель под свалки и полигоны, которые становятся источниками долговечного загрязнения почв и грунтовых вод токсичным фильтратом, а также эмиссии метана — мощного парникового газа.</w:t>
      </w:r>
    </w:p>
    <w:p>
      <w:pPr>
        <w:pStyle w:val="BodyText"/>
      </w:pPr>
      <w:r>
        <w:t xml:space="preserve">Для систематизации ключевых деструктивных факторов, характерных для урбанизированных пространств, целесообразно выделить следующие экологические вызовы:</w:t>
      </w:r>
    </w:p>
    <w:p>
      <w:pPr>
        <w:jc w:val="left"/>
        <w:ind w:firstLine="0"/>
        <w:spacing w:after="120"/>
      </w:pPr>
      <w:r>
        <w:rPr>
          <w:b/>
        </w:rPr>
        <w:t>Таблица 1 – Ключевые экологические вызовы современных мегаполисов</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2640"/>
        <w:gridCol w:w="2640"/>
        <w:gridCol w:w="2640"/>
      </w:tblGrid>
      <w:tr>
        <w:trPr>
          <w:tblHeader w:val="true"/>
        </w:trPr>
        <w:tc>
          <w:tcPr>
            <w:vAlign w:val="center"/>
          </w:tcPr>
          <w:p>
            <w:pPr>
              <w:ind w:firstLine="0"/>
              <w:pStyle w:val="Compact"/>
              <w:jc w:val="center"/>
            </w:pPr>
            <w:r>
              <w:rPr>
                <w:b/>
                <w:bCs/>
                <w:sz w:val="24"/>
                <w:szCs w:val="24"/>
              </w:rPr>
              <w:t xml:space="preserve">Экологический вызов</w:t>
            </w:r>
          </w:p>
        </w:tc>
        <w:tc>
          <w:tcPr>
            <w:vAlign w:val="center"/>
          </w:tcPr>
          <w:p>
            <w:pPr>
              <w:ind w:firstLine="0"/>
              <w:pStyle w:val="Compact"/>
              <w:jc w:val="center"/>
            </w:pPr>
            <w:r>
              <w:rPr>
                <w:b/>
                <w:bCs/>
                <w:sz w:val="24"/>
                <w:szCs w:val="24"/>
              </w:rPr>
              <w:t xml:space="preserve">Основной источник возникновения</w:t>
            </w:r>
          </w:p>
        </w:tc>
        <w:tc>
          <w:tcPr>
            <w:vAlign w:val="center"/>
          </w:tcPr>
          <w:p>
            <w:pPr>
              <w:ind w:firstLine="0"/>
              <w:pStyle w:val="Compact"/>
              <w:jc w:val="center"/>
            </w:pPr>
            <w:r>
              <w:rPr>
                <w:b/>
                <w:bCs/>
                <w:sz w:val="24"/>
                <w:szCs w:val="24"/>
              </w:rPr>
              <w:t xml:space="preserve">Последствия для городской среды</w:t>
            </w:r>
          </w:p>
        </w:tc>
      </w:tr>
      <w:tr>
        <w:tc>
          <w:tcPr>
            <w:vAlign w:val="center"/>
          </w:tcPr>
          <w:p>
            <w:pPr>
              <w:ind w:firstLine="0"/>
              <w:pStyle w:val="Compact"/>
              <w:jc w:val="center"/>
            </w:pPr>
            <w:r>
              <w:rPr>
                <w:sz w:val="24"/>
                <w:szCs w:val="24"/>
              </w:rPr>
              <w:t xml:space="preserve">Загрязнение воздуха</w:t>
            </w:r>
          </w:p>
        </w:tc>
        <w:tc>
          <w:tcPr>
            <w:vAlign w:val="center"/>
          </w:tcPr>
          <w:p>
            <w:pPr>
              <w:ind w:firstLine="0"/>
              <w:pStyle w:val="Compact"/>
              <w:jc w:val="center"/>
            </w:pPr>
            <w:r>
              <w:rPr>
                <w:sz w:val="24"/>
                <w:szCs w:val="24"/>
              </w:rPr>
              <w:t xml:space="preserve">Транспорт, ТЭЦ на ископаемом топливе</w:t>
            </w:r>
          </w:p>
        </w:tc>
        <w:tc>
          <w:tcPr>
            <w:vAlign w:val="center"/>
          </w:tcPr>
          <w:p>
            <w:pPr>
              <w:ind w:firstLine="0"/>
              <w:pStyle w:val="Compact"/>
              <w:jc w:val="center"/>
            </w:pPr>
            <w:r>
              <w:rPr>
                <w:sz w:val="24"/>
                <w:szCs w:val="24"/>
              </w:rPr>
              <w:t xml:space="preserve">Формирование смога, рост заболеваемости</w:t>
            </w:r>
          </w:p>
        </w:tc>
      </w:tr>
      <w:tr>
        <w:tc>
          <w:tcPr>
            <w:vAlign w:val="center"/>
          </w:tcPr>
          <w:p>
            <w:pPr>
              <w:ind w:firstLine="0"/>
              <w:pStyle w:val="Compact"/>
              <w:jc w:val="center"/>
            </w:pPr>
            <w:r>
              <w:rPr>
                <w:sz w:val="24"/>
                <w:szCs w:val="24"/>
              </w:rPr>
              <w:t xml:space="preserve">Остров тепла</w:t>
            </w:r>
          </w:p>
        </w:tc>
        <w:tc>
          <w:tcPr>
            <w:vAlign w:val="center"/>
          </w:tcPr>
          <w:p>
            <w:pPr>
              <w:ind w:firstLine="0"/>
              <w:pStyle w:val="Compact"/>
              <w:jc w:val="center"/>
            </w:pPr>
            <w:r>
              <w:rPr>
                <w:sz w:val="24"/>
                <w:szCs w:val="24"/>
              </w:rPr>
              <w:t xml:space="preserve">Плотная застройка, отсутствие озеленения</w:t>
            </w:r>
          </w:p>
        </w:tc>
        <w:tc>
          <w:tcPr>
            <w:vAlign w:val="center"/>
          </w:tcPr>
          <w:p>
            <w:pPr>
              <w:ind w:firstLine="0"/>
              <w:pStyle w:val="Compact"/>
              <w:jc w:val="center"/>
            </w:pPr>
            <w:r>
              <w:rPr>
                <w:sz w:val="24"/>
                <w:szCs w:val="24"/>
              </w:rPr>
              <w:t xml:space="preserve">Нарушение микроклимата, перерасход энергии</w:t>
            </w:r>
          </w:p>
        </w:tc>
      </w:tr>
      <w:tr>
        <w:tc>
          <w:tcPr>
            <w:vAlign w:val="center"/>
          </w:tcPr>
          <w:p>
            <w:pPr>
              <w:ind w:firstLine="0"/>
              <w:pStyle w:val="Compact"/>
              <w:jc w:val="center"/>
            </w:pPr>
            <w:r>
              <w:rPr>
                <w:sz w:val="24"/>
                <w:szCs w:val="24"/>
              </w:rPr>
              <w:t xml:space="preserve">Рост объемов ТКО</w:t>
            </w:r>
          </w:p>
        </w:tc>
        <w:tc>
          <w:tcPr>
            <w:vAlign w:val="center"/>
          </w:tcPr>
          <w:p>
            <w:pPr>
              <w:ind w:firstLine="0"/>
              <w:pStyle w:val="Compact"/>
              <w:jc w:val="center"/>
            </w:pPr>
            <w:r>
              <w:rPr>
                <w:sz w:val="24"/>
                <w:szCs w:val="24"/>
              </w:rPr>
              <w:t xml:space="preserve">Высокий уровень потребления товаров</w:t>
            </w:r>
          </w:p>
        </w:tc>
        <w:tc>
          <w:tcPr>
            <w:vAlign w:val="center"/>
          </w:tcPr>
          <w:p>
            <w:pPr>
              <w:ind w:firstLine="0"/>
              <w:pStyle w:val="Compact"/>
              <w:jc w:val="center"/>
            </w:pPr>
            <w:r>
              <w:rPr>
                <w:sz w:val="24"/>
                <w:szCs w:val="24"/>
              </w:rPr>
              <w:t xml:space="preserve">Переполнение полигонов, загрязнение почв</w:t>
            </w:r>
          </w:p>
        </w:tc>
      </w:tr>
      <w:tr>
        <w:tc>
          <w:tcPr>
            <w:vAlign w:val="center"/>
          </w:tcPr>
          <w:p>
            <w:pPr>
              <w:ind w:firstLine="0"/>
              <w:pStyle w:val="Compact"/>
              <w:jc w:val="center"/>
            </w:pPr>
            <w:r>
              <w:rPr>
                <w:sz w:val="24"/>
                <w:szCs w:val="24"/>
              </w:rPr>
              <w:t xml:space="preserve">Шумовое давление</w:t>
            </w:r>
          </w:p>
        </w:tc>
        <w:tc>
          <w:tcPr>
            <w:vAlign w:val="center"/>
          </w:tcPr>
          <w:p>
            <w:pPr>
              <w:ind w:firstLine="0"/>
              <w:pStyle w:val="Compact"/>
              <w:jc w:val="center"/>
            </w:pPr>
            <w:r>
              <w:rPr>
                <w:sz w:val="24"/>
                <w:szCs w:val="24"/>
              </w:rPr>
              <w:t xml:space="preserve">Круглосуточная инфраструктура, трафик</w:t>
            </w:r>
          </w:p>
        </w:tc>
        <w:tc>
          <w:tcPr>
            <w:vAlign w:val="center"/>
          </w:tcPr>
          <w:p>
            <w:pPr>
              <w:ind w:firstLine="0"/>
              <w:pStyle w:val="Compact"/>
              <w:jc w:val="center"/>
            </w:pPr>
            <w:r>
              <w:rPr>
                <w:sz w:val="24"/>
                <w:szCs w:val="24"/>
              </w:rPr>
              <w:t xml:space="preserve">Нарушение биоритмов людей и фауны</w:t>
            </w:r>
          </w:p>
        </w:tc>
      </w:tr>
    </w:tbl>
    <w:p>
      <w:pPr>
        <w:pStyle w:val="BodyText"/>
      </w:pPr>
      <w:r>
        <w:t xml:space="preserve">Совокупность указанных факторов формирует интегральный экологический след мегаполиса, который многократно превышает его географическую площадь. Высокая доля углеродоемких технологий в энергоснабжении, транспорте и строительстве делает крупные города главными генераторами парниковых газов, ускоряющими глобальные климатические изменения. В связи с этим глубокое понимание структуры и механизмов воздействия экологических проблем мегаполисов является критически важным шагом для разработки и практической реализации стратегий их устойчивого развития, экологизации и постепенной декарбонизации всех систем жизнеобеспечения.</w:t>
      </w:r>
    </w:p>
    <w:p>
      <w:r>
        <w:br w:type="page"/>
      </w:r>
    </w:p>
    <w:bookmarkEnd w:id="21"/>
    <w:bookmarkStart w:id="22" w:name="sec-3"/>
    <w:p>
      <w:pPr>
        <w:spacing w:line="360" w:lineRule="auto" w:after="40" w:afterAutospacing="0" w:beforeAutospacing="0"/>
        <w:pStyle w:val="Heading2"/>
      </w:pPr>
      <w:r>
        <w:t xml:space="preserve">2. Роль возобновляемых источников энергии</w:t>
      </w:r>
    </w:p>
    <w:p>
      <w:pPr>
        <w:pStyle w:val="FirstParagraph"/>
      </w:pPr>
      <w:r>
        <w:t xml:space="preserve">Интеграция возобновляемых источников энергии (ВИЭ) в энергосистему мегаполисов представляет собой фундаментальный сдвиг в концепции городского развития, направленный на преодоление климатического и экологического кризиса [1]. Традиционно крупные города критически зависят от импорта ископаемого топлива, сжигание которого приводит к локальному ухудшению качества воздуха, образованию смога и возникновению тепловых островов. В этих условиях ускоренное развитие альтернативной генерации непосредственно в черте города становится безальтернативным решением, позволяющим минимизировать выбросы парниковых газов (особенно по категории Scope 2, связанной с внешним потреблением электрической и тепловой энергии) и радикально повысить климатическую устойчивость муниципальной инфраструктуры.</w:t>
      </w:r>
    </w:p>
    <w:p>
      <w:pPr>
        <w:pStyle w:val="BodyText"/>
      </w:pPr>
      <w:r>
        <w:t xml:space="preserve">Основными векторами внедрения альтернативной энергетики в высокоурбанизированную среду являются солнечная, ветровая, геотермальная энергия, а также биоэнергетические технологии. Солнечная генерация сегодня занимает доминирующее положение за счет концепции фотоэлектрических систем, интегрированных в ограждающие конструкции зданий (BIPV) [24], и стандартных крышных солнечных панелей. Использование пустующих площадей городских крыш, элементов фасадов и оконных пространств превращает пассивных потребителей энергии в распределенные генерирующие объекты. Ветровая генерация в мегаполисах представлена преимущественно специализированными микротурбинами, адаптированными к сложной аэродинамике плотной застройки и турбулентным потокам, возникающим вокруг высотных доминант. Геотермальные тепловые насосы используются для извлечения низкопотенциального тепла земли с целью тепло- и хладоснабжения жилых кварталов, разгружая традиционные тепловые сети. Особое прикладное значение приобретает биоэнергетика, включая извлечение свалочного газа на полигонах и термическую утилизацию органических фракций твердых коммунальных отходов [14], что позволяет эффективно связать энергетический сектор с системой обращения с мусором.</w:t>
      </w:r>
    </w:p>
    <w:p>
      <w:pPr>
        <w:pStyle w:val="BodyText"/>
      </w:pPr>
      <w:r>
        <w:t xml:space="preserve">Роль ВИЭ в современных мегаполисах выходит далеко за рамки сугубо экологических эффектов. Децентрализация энергоснабжения посредством интеграции распределенных источников в локальные интеллектуальные энергосистемы (microgrids) [6] с применением накопителей энергии значительно повышает общую живучесть мегаполиса. Автономные ячейки способны бесперебойно снабжать критически важные объекты социальной инфраструктуры в условиях экстремальных погодных явлений, снижая риски каскадных отключений.</w:t>
      </w:r>
    </w:p>
    <w:p>
      <w:pPr>
        <w:pStyle w:val="BodyText"/>
      </w:pPr>
      <w:r>
        <w:t xml:space="preserve">Для детальной оценки специфики и возможностей различных видов альтернативной генерации в урбанизированной среде ниже представлена сопоставительная таблица.</w:t>
      </w:r>
    </w:p>
    <w:p>
      <w:pPr>
        <w:jc w:val="left"/>
        <w:ind w:firstLine="0"/>
        <w:spacing w:after="120"/>
      </w:pPr>
      <w:r>
        <w:rPr>
          <w:b/>
        </w:rPr>
        <w:t>Таблица 2 – Характеристики и потенциал внедрения возобновляемых источников энергии в мегаполисах</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Источник энергии</w:t>
            </w:r>
          </w:p>
        </w:tc>
        <w:tc>
          <w:tcPr>
            <w:vAlign w:val="center"/>
          </w:tcPr>
          <w:p>
            <w:pPr>
              <w:ind w:firstLine="0"/>
              <w:pStyle w:val="Compact"/>
              <w:jc w:val="center"/>
            </w:pPr>
            <w:r>
              <w:rPr>
                <w:b/>
                <w:bCs/>
                <w:sz w:val="24"/>
                <w:szCs w:val="24"/>
              </w:rPr>
              <w:t xml:space="preserve">Ключевые технологии</w:t>
            </w:r>
          </w:p>
        </w:tc>
        <w:tc>
          <w:tcPr>
            <w:vAlign w:val="center"/>
          </w:tcPr>
          <w:p>
            <w:pPr>
              <w:ind w:firstLine="0"/>
              <w:pStyle w:val="Compact"/>
              <w:jc w:val="center"/>
            </w:pPr>
            <w:r>
              <w:rPr>
                <w:b/>
                <w:bCs/>
                <w:sz w:val="24"/>
                <w:szCs w:val="24"/>
              </w:rPr>
              <w:t xml:space="preserve">Потенциал интеграции</w:t>
            </w:r>
          </w:p>
        </w:tc>
        <w:tc>
          <w:tcPr>
            <w:vAlign w:val="center"/>
          </w:tcPr>
          <w:p>
            <w:pPr>
              <w:ind w:firstLine="0"/>
              <w:pStyle w:val="Compact"/>
              <w:jc w:val="center"/>
            </w:pPr>
            <w:r>
              <w:rPr>
                <w:b/>
                <w:bCs/>
                <w:sz w:val="24"/>
                <w:szCs w:val="24"/>
              </w:rPr>
              <w:t xml:space="preserve">Основные ограничения</w:t>
            </w:r>
          </w:p>
        </w:tc>
      </w:tr>
      <w:tr>
        <w:tc>
          <w:tcPr>
            <w:vAlign w:val="center"/>
          </w:tcPr>
          <w:p>
            <w:pPr>
              <w:ind w:firstLine="0"/>
              <w:pStyle w:val="Compact"/>
              <w:jc w:val="center"/>
            </w:pPr>
            <w:r>
              <w:rPr>
                <w:sz w:val="24"/>
                <w:szCs w:val="24"/>
              </w:rPr>
              <w:t xml:space="preserve">Солнечная</w:t>
            </w:r>
          </w:p>
        </w:tc>
        <w:tc>
          <w:tcPr>
            <w:vAlign w:val="center"/>
          </w:tcPr>
          <w:p>
            <w:pPr>
              <w:ind w:firstLine="0"/>
              <w:pStyle w:val="Compact"/>
              <w:jc w:val="center"/>
            </w:pPr>
            <w:r>
              <w:rPr>
                <w:sz w:val="24"/>
                <w:szCs w:val="24"/>
              </w:rPr>
              <w:t xml:space="preserve">Фотоэлектрические панели (крышные, фасадные BIPV)</w:t>
            </w:r>
          </w:p>
        </w:tc>
        <w:tc>
          <w:tcPr>
            <w:vAlign w:val="center"/>
          </w:tcPr>
          <w:p>
            <w:pPr>
              <w:ind w:firstLine="0"/>
              <w:pStyle w:val="Compact"/>
              <w:jc w:val="center"/>
            </w:pPr>
            <w:r>
              <w:rPr>
                <w:sz w:val="24"/>
                <w:szCs w:val="24"/>
              </w:rPr>
              <w:t xml:space="preserve">Очень высокий (использование свободных площадей зданий)</w:t>
            </w:r>
          </w:p>
        </w:tc>
        <w:tc>
          <w:tcPr>
            <w:vAlign w:val="center"/>
          </w:tcPr>
          <w:p>
            <w:pPr>
              <w:ind w:firstLine="0"/>
              <w:pStyle w:val="Compact"/>
              <w:jc w:val="center"/>
            </w:pPr>
            <w:r>
              <w:rPr>
                <w:sz w:val="24"/>
                <w:szCs w:val="24"/>
              </w:rPr>
              <w:t xml:space="preserve">Сезонность, суточная неравномерность выработки</w:t>
            </w:r>
          </w:p>
        </w:tc>
      </w:tr>
      <w:tr>
        <w:tc>
          <w:tcPr>
            <w:vAlign w:val="center"/>
          </w:tcPr>
          <w:p>
            <w:pPr>
              <w:ind w:firstLine="0"/>
              <w:pStyle w:val="Compact"/>
              <w:jc w:val="center"/>
            </w:pPr>
            <w:r>
              <w:rPr>
                <w:sz w:val="24"/>
                <w:szCs w:val="24"/>
              </w:rPr>
              <w:t xml:space="preserve">Ветровая</w:t>
            </w:r>
          </w:p>
        </w:tc>
        <w:tc>
          <w:tcPr>
            <w:vAlign w:val="center"/>
          </w:tcPr>
          <w:p>
            <w:pPr>
              <w:ind w:firstLine="0"/>
              <w:pStyle w:val="Compact"/>
              <w:jc w:val="center"/>
            </w:pPr>
            <w:r>
              <w:rPr>
                <w:sz w:val="24"/>
                <w:szCs w:val="24"/>
              </w:rPr>
              <w:t xml:space="preserve">Вертикальные и горизонтальные микротурбины</w:t>
            </w:r>
          </w:p>
        </w:tc>
        <w:tc>
          <w:tcPr>
            <w:vAlign w:val="center"/>
          </w:tcPr>
          <w:p>
            <w:pPr>
              <w:ind w:firstLine="0"/>
              <w:pStyle w:val="Compact"/>
              <w:jc w:val="center"/>
            </w:pPr>
            <w:r>
              <w:rPr>
                <w:sz w:val="24"/>
                <w:szCs w:val="24"/>
              </w:rPr>
              <w:t xml:space="preserve">Умеренный (размещение на высотных объектах)</w:t>
            </w:r>
          </w:p>
        </w:tc>
        <w:tc>
          <w:tcPr>
            <w:vAlign w:val="center"/>
          </w:tcPr>
          <w:p>
            <w:pPr>
              <w:ind w:firstLine="0"/>
              <w:pStyle w:val="Compact"/>
              <w:jc w:val="center"/>
            </w:pPr>
            <w:r>
              <w:rPr>
                <w:sz w:val="24"/>
                <w:szCs w:val="24"/>
              </w:rPr>
              <w:t xml:space="preserve">Турбулентность ветра, риски вибрационного загрязнения</w:t>
            </w:r>
          </w:p>
        </w:tc>
      </w:tr>
      <w:tr>
        <w:tc>
          <w:tcPr>
            <w:vAlign w:val="center"/>
          </w:tcPr>
          <w:p>
            <w:pPr>
              <w:ind w:firstLine="0"/>
              <w:pStyle w:val="Compact"/>
              <w:jc w:val="center"/>
            </w:pPr>
            <w:r>
              <w:rPr>
                <w:sz w:val="24"/>
                <w:szCs w:val="24"/>
              </w:rPr>
              <w:t xml:space="preserve">Геотермальная</w:t>
            </w:r>
          </w:p>
        </w:tc>
        <w:tc>
          <w:tcPr>
            <w:vAlign w:val="center"/>
          </w:tcPr>
          <w:p>
            <w:pPr>
              <w:ind w:firstLine="0"/>
              <w:pStyle w:val="Compact"/>
              <w:jc w:val="center"/>
            </w:pPr>
            <w:r>
              <w:rPr>
                <w:sz w:val="24"/>
                <w:szCs w:val="24"/>
              </w:rPr>
              <w:t xml:space="preserve">Грунтовые тепловые насосы, гидротермальные системы</w:t>
            </w:r>
          </w:p>
        </w:tc>
        <w:tc>
          <w:tcPr>
            <w:vAlign w:val="center"/>
          </w:tcPr>
          <w:p>
            <w:pPr>
              <w:ind w:firstLine="0"/>
              <w:pStyle w:val="Compact"/>
              <w:jc w:val="center"/>
            </w:pPr>
            <w:r>
              <w:rPr>
                <w:sz w:val="24"/>
                <w:szCs w:val="24"/>
              </w:rPr>
              <w:t xml:space="preserve">Высокий (энергоснабжение систем теплохладоснабжения)</w:t>
            </w:r>
          </w:p>
        </w:tc>
        <w:tc>
          <w:tcPr>
            <w:vAlign w:val="center"/>
          </w:tcPr>
          <w:p>
            <w:pPr>
              <w:ind w:firstLine="0"/>
              <w:pStyle w:val="Compact"/>
              <w:jc w:val="center"/>
            </w:pPr>
            <w:r>
              <w:rPr>
                <w:sz w:val="24"/>
                <w:szCs w:val="24"/>
              </w:rPr>
              <w:t xml:space="preserve">Капиталоемкость, технологический дефицит площадей</w:t>
            </w:r>
          </w:p>
        </w:tc>
      </w:tr>
      <w:tr>
        <w:tc>
          <w:tcPr>
            <w:vAlign w:val="center"/>
          </w:tcPr>
          <w:p>
            <w:pPr>
              <w:ind w:firstLine="0"/>
              <w:pStyle w:val="Compact"/>
              <w:jc w:val="center"/>
            </w:pPr>
            <w:r>
              <w:rPr>
                <w:sz w:val="24"/>
                <w:szCs w:val="24"/>
              </w:rPr>
              <w:t xml:space="preserve">Биоэнергетика</w:t>
            </w:r>
          </w:p>
        </w:tc>
        <w:tc>
          <w:tcPr>
            <w:vAlign w:val="center"/>
          </w:tcPr>
          <w:p>
            <w:pPr>
              <w:ind w:firstLine="0"/>
              <w:pStyle w:val="Compact"/>
              <w:jc w:val="center"/>
            </w:pPr>
            <w:r>
              <w:rPr>
                <w:sz w:val="24"/>
                <w:szCs w:val="24"/>
              </w:rPr>
              <w:t xml:space="preserve">Сжигание биомассы, сбор и утилизация свалочного газа</w:t>
            </w:r>
          </w:p>
        </w:tc>
        <w:tc>
          <w:tcPr>
            <w:vAlign w:val="center"/>
          </w:tcPr>
          <w:p>
            <w:pPr>
              <w:ind w:firstLine="0"/>
              <w:pStyle w:val="Compact"/>
              <w:jc w:val="center"/>
            </w:pPr>
            <w:r>
              <w:rPr>
                <w:sz w:val="24"/>
                <w:szCs w:val="24"/>
              </w:rPr>
              <w:t xml:space="preserve">Высокий (синергия с переработкой органических отходов)</w:t>
            </w:r>
          </w:p>
        </w:tc>
        <w:tc>
          <w:tcPr>
            <w:vAlign w:val="center"/>
          </w:tcPr>
          <w:p>
            <w:pPr>
              <w:ind w:firstLine="0"/>
              <w:pStyle w:val="Compact"/>
              <w:jc w:val="center"/>
            </w:pPr>
            <w:r>
              <w:rPr>
                <w:sz w:val="24"/>
                <w:szCs w:val="24"/>
              </w:rPr>
              <w:t xml:space="preserve">Необходимость высокоэффективной очистки дымовых газов</w:t>
            </w:r>
          </w:p>
        </w:tc>
      </w:tr>
    </w:tbl>
    <w:p>
      <w:pPr>
        <w:pStyle w:val="BodyText"/>
      </w:pPr>
      <w:r>
        <w:t xml:space="preserve">Таким образом, переход к распределенной экологически чистой генерации закладывает основу для декарбонизации всех секторов городского хозяйства. Развитие ВИЭ не только компенсирует антропогенное воздействие на климат Земли, но и стимулирует появление высокотехнологичных отраслей в структуре муниципальной экономики, оптимизируя потоки энергоресурсов в рамках реализации модели умного устойчивого города.</w:t>
      </w:r>
    </w:p>
    <w:p>
      <w:r>
        <w:br w:type="page"/>
      </w:r>
    </w:p>
    <w:bookmarkEnd w:id="22"/>
    <w:bookmarkStart w:id="23" w:name="sec-4"/>
    <w:p>
      <w:pPr>
        <w:spacing w:line="360" w:lineRule="auto" w:after="40" w:afterAutospacing="0" w:beforeAutospacing="0"/>
        <w:pStyle w:val="Heading2"/>
      </w:pPr>
      <w:r>
        <w:t xml:space="preserve">3. Технологии интеграции альтернативной генерации</w:t>
      </w:r>
    </w:p>
    <w:p>
      <w:pPr>
        <w:pStyle w:val="FirstParagraph"/>
      </w:pPr>
      <w:r>
        <w:t xml:space="preserve">Интеграция альтернативных источников генерации, преимущественно представленных солнечными фотоэлектрическими панелями и локальными ветроэнергетическими установками, в архитектуру современного мегаполиса сопряжена с преодолением ряда технологических и инфраструктурных барьеров [7]. Высокая плотность энергопотребления, пространственные ограничения городской застройки, а также стохастический характер выработки энергии (зависящий от погодных условий и времени суток) требуют кардинального пересмотра традиционных принципов управления электрическими сетями. Решением данной проблемы выступает создание гибридных энергосистем нового поколения, построенных на принципах интеллектуального распределения и оперативного маневрирования мощностями.</w:t>
      </w:r>
    </w:p>
    <w:p>
      <w:pPr>
        <w:pStyle w:val="BodyText"/>
      </w:pPr>
      <w:r>
        <w:t xml:space="preserve">В основе успешного внедрения возобновляемой энергетики в городскую среду лежат три взаимосвязанных технологических пласта:</w:t>
      </w:r>
    </w:p>
    <w:p>
      <w:pPr>
        <w:numPr>
          <w:ilvl w:val="0"/>
          <w:numId w:val="1001"/>
        </w:numPr>
      </w:pPr>
      <w:r>
        <w:t xml:space="preserve">Интеллектуальные сети (Smart Grids) [1]. С помощью передовых систем датчиков (включая устройства измерения векторных величин PMU), интеллектуальных приборов учета потребителей и алгоритмов искусственного интеллекта данные сети обеспечивают постоянный мониторинг и управление потоками энергии в режиме реального времени. Они позволяют преобразовывать классическую схему однонаправленного распределения энергии в гибкую двунаправленную систему, способную безопасно принимать избыток генерации от потребителей-просьюмеров (активных потребителей, одновременно производящих энергию для собственных нужд).</w:t>
      </w:r>
    </w:p>
    <w:p>
      <w:pPr>
        <w:numPr>
          <w:ilvl w:val="0"/>
          <w:numId w:val="1001"/>
        </w:numPr>
      </w:pPr>
      <w:r>
        <w:t xml:space="preserve">Микросети (Microgrids) и Виртуальные электростанции (Virtual Power Plants, VPP) [6]. Микросети представляют собой локальные энергетические ячейки, которые могут функционировать как совместно с централизованной системой, так и автономно при аварийных ситуациях, снабжая критически важную инфраструктуру за счет ВИЭ и накопителей. Виртуальные электростанции, в свою очередь, представляют собой цифровые платформы, объединяющие географически рассредоточенные мелкие объекты генерации, системы накопления энергии и гибкую управляемую нагрузку в единую скоординированную систему. Это позволяет малым объектам участвовать в оптовом рынке электроэнергии наравне с крупными ТЭЦ.</w:t>
      </w:r>
    </w:p>
    <w:p>
      <w:pPr>
        <w:numPr>
          <w:ilvl w:val="0"/>
          <w:numId w:val="1001"/>
        </w:numPr>
      </w:pPr>
      <w:r>
        <w:t xml:space="preserve">Системы накопления энергии (ESS) и интеграция электромобильного транспорта (Vehicle-to-Grid, V2G) [17]. Энергоемкие литий-ионные, твердотельные и проточные батареи выполняют роль буфера, сглаживая пики выработки альтернативных источников и покрывая суточные максимумы потребления. Важную роль также начинает играть концепция V2G, трансформирующая стоящие на зарядке электромобили в распределенный аккумуляторный резерв города, готовый отдавать избыточную мощность обратно в сеть в моменты дефицита.</w:t>
      </w:r>
    </w:p>
    <w:p>
      <w:pPr>
        <w:pStyle w:val="FirstParagraph"/>
      </w:pPr>
      <w:r>
        <w:t xml:space="preserve">Ниже представлена сводная характеристика ключевых технологий интеграции альтернативной генерации в городскую энергосистему.</w:t>
      </w:r>
    </w:p>
    <w:p>
      <w:pPr>
        <w:jc w:val="left"/>
        <w:ind w:firstLine="0"/>
        <w:spacing w:after="120"/>
      </w:pPr>
      <w:r>
        <w:rPr>
          <w:b/>
        </w:rPr>
        <w:t>Таблица 3 – Характеристика ключевых технологий интеграции альтернативной генерации в городские энергосистемы</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Технология</w:t>
            </w:r>
          </w:p>
        </w:tc>
        <w:tc>
          <w:tcPr>
            <w:vAlign w:val="center"/>
          </w:tcPr>
          <w:p>
            <w:pPr>
              <w:ind w:firstLine="0"/>
              <w:pStyle w:val="Compact"/>
              <w:jc w:val="center"/>
            </w:pPr>
            <w:r>
              <w:rPr>
                <w:b/>
                <w:bCs/>
                <w:sz w:val="24"/>
                <w:szCs w:val="24"/>
              </w:rPr>
              <w:t xml:space="preserve">Механизм действия</w:t>
            </w:r>
          </w:p>
        </w:tc>
        <w:tc>
          <w:tcPr>
            <w:vAlign w:val="center"/>
          </w:tcPr>
          <w:p>
            <w:pPr>
              <w:ind w:firstLine="0"/>
              <w:pStyle w:val="Compact"/>
              <w:jc w:val="center"/>
            </w:pPr>
            <w:r>
              <w:rPr>
                <w:b/>
                <w:bCs/>
                <w:sz w:val="24"/>
                <w:szCs w:val="24"/>
              </w:rPr>
              <w:t xml:space="preserve">Преимущества для мегаполиса</w:t>
            </w:r>
          </w:p>
        </w:tc>
        <w:tc>
          <w:tcPr>
            <w:vAlign w:val="center"/>
          </w:tcPr>
          <w:p>
            <w:pPr>
              <w:ind w:firstLine="0"/>
              <w:pStyle w:val="Compact"/>
              <w:jc w:val="center"/>
            </w:pPr>
            <w:r>
              <w:rPr>
                <w:b/>
                <w:bCs/>
                <w:sz w:val="24"/>
                <w:szCs w:val="24"/>
              </w:rPr>
              <w:t xml:space="preserve">Основные ограничения</w:t>
            </w:r>
          </w:p>
        </w:tc>
      </w:tr>
      <w:tr>
        <w:tc>
          <w:tcPr>
            <w:vAlign w:val="center"/>
          </w:tcPr>
          <w:p>
            <w:pPr>
              <w:ind w:firstLine="0"/>
              <w:pStyle w:val="Compact"/>
              <w:jc w:val="center"/>
            </w:pPr>
            <w:r>
              <w:rPr>
                <w:sz w:val="24"/>
                <w:szCs w:val="24"/>
              </w:rPr>
              <w:t xml:space="preserve">Умные сети (Smart Grids)</w:t>
            </w:r>
          </w:p>
        </w:tc>
        <w:tc>
          <w:tcPr>
            <w:vAlign w:val="center"/>
          </w:tcPr>
          <w:p>
            <w:pPr>
              <w:ind w:firstLine="0"/>
              <w:pStyle w:val="Compact"/>
              <w:jc w:val="center"/>
            </w:pPr>
            <w:r>
              <w:rPr>
                <w:sz w:val="24"/>
                <w:szCs w:val="24"/>
              </w:rPr>
              <w:t xml:space="preserve">Двунаправленный обмен данными и энергией, автоматическая балансировка</w:t>
            </w:r>
          </w:p>
        </w:tc>
        <w:tc>
          <w:tcPr>
            <w:vAlign w:val="center"/>
          </w:tcPr>
          <w:p>
            <w:pPr>
              <w:ind w:firstLine="0"/>
              <w:pStyle w:val="Compact"/>
              <w:jc w:val="center"/>
            </w:pPr>
            <w:r>
              <w:rPr>
                <w:sz w:val="24"/>
                <w:szCs w:val="24"/>
              </w:rPr>
              <w:t xml:space="preserve">Снижение потерь при передаче, предотвращение перегрузок линий</w:t>
            </w:r>
          </w:p>
        </w:tc>
        <w:tc>
          <w:tcPr>
            <w:vAlign w:val="center"/>
          </w:tcPr>
          <w:p>
            <w:pPr>
              <w:ind w:firstLine="0"/>
              <w:pStyle w:val="Compact"/>
              <w:jc w:val="center"/>
            </w:pPr>
            <w:r>
              <w:rPr>
                <w:sz w:val="24"/>
                <w:szCs w:val="24"/>
              </w:rPr>
              <w:t xml:space="preserve">Высокие капитальные затраты на цифровую модернизацию сетей</w:t>
            </w:r>
          </w:p>
        </w:tc>
      </w:tr>
      <w:tr>
        <w:tc>
          <w:tcPr>
            <w:vAlign w:val="center"/>
          </w:tcPr>
          <w:p>
            <w:pPr>
              <w:ind w:firstLine="0"/>
              <w:pStyle w:val="Compact"/>
              <w:jc w:val="center"/>
            </w:pPr>
            <w:r>
              <w:rPr>
                <w:sz w:val="24"/>
                <w:szCs w:val="24"/>
              </w:rPr>
              <w:t xml:space="preserve">Виртуальные электростанции (VPP)</w:t>
            </w:r>
          </w:p>
        </w:tc>
        <w:tc>
          <w:tcPr>
            <w:vAlign w:val="center"/>
          </w:tcPr>
          <w:p>
            <w:pPr>
              <w:ind w:firstLine="0"/>
              <w:pStyle w:val="Compact"/>
              <w:jc w:val="center"/>
            </w:pPr>
            <w:r>
              <w:rPr>
                <w:sz w:val="24"/>
                <w:szCs w:val="24"/>
              </w:rPr>
              <w:t xml:space="preserve">Программное объединение распределенных ВИЭ, накопителей и нагрузок</w:t>
            </w:r>
          </w:p>
        </w:tc>
        <w:tc>
          <w:tcPr>
            <w:vAlign w:val="center"/>
          </w:tcPr>
          <w:p>
            <w:pPr>
              <w:ind w:firstLine="0"/>
              <w:pStyle w:val="Compact"/>
              <w:jc w:val="center"/>
            </w:pPr>
            <w:r>
              <w:rPr>
                <w:sz w:val="24"/>
                <w:szCs w:val="24"/>
              </w:rPr>
              <w:t xml:space="preserve">Повышение маневренности энергосистемы, монетизация мелких ВИЭ</w:t>
            </w:r>
          </w:p>
        </w:tc>
        <w:tc>
          <w:tcPr>
            <w:vAlign w:val="center"/>
          </w:tcPr>
          <w:p>
            <w:pPr>
              <w:ind w:firstLine="0"/>
              <w:pStyle w:val="Compact"/>
              <w:jc w:val="center"/>
            </w:pPr>
            <w:r>
              <w:rPr>
                <w:sz w:val="24"/>
                <w:szCs w:val="24"/>
              </w:rPr>
              <w:t xml:space="preserve">Высокая зависимость от стабильности каналов связи и кибербезопасности</w:t>
            </w:r>
          </w:p>
        </w:tc>
      </w:tr>
      <w:tr>
        <w:tc>
          <w:tcPr>
            <w:vAlign w:val="center"/>
          </w:tcPr>
          <w:p>
            <w:pPr>
              <w:ind w:firstLine="0"/>
              <w:pStyle w:val="Compact"/>
              <w:jc w:val="center"/>
            </w:pPr>
            <w:r>
              <w:rPr>
                <w:sz w:val="24"/>
                <w:szCs w:val="24"/>
              </w:rPr>
              <w:t xml:space="preserve">Системы накопления (BESS)</w:t>
            </w:r>
          </w:p>
        </w:tc>
        <w:tc>
          <w:tcPr>
            <w:vAlign w:val="center"/>
          </w:tcPr>
          <w:p>
            <w:pPr>
              <w:ind w:firstLine="0"/>
              <w:pStyle w:val="Compact"/>
              <w:jc w:val="center"/>
            </w:pPr>
            <w:r>
              <w:rPr>
                <w:sz w:val="24"/>
                <w:szCs w:val="24"/>
              </w:rPr>
              <w:t xml:space="preserve">Электрохимическое и тепловое аккумулирование избыточной энергии</w:t>
            </w:r>
          </w:p>
        </w:tc>
        <w:tc>
          <w:tcPr>
            <w:vAlign w:val="center"/>
          </w:tcPr>
          <w:p>
            <w:pPr>
              <w:ind w:firstLine="0"/>
              <w:pStyle w:val="Compact"/>
              <w:jc w:val="center"/>
            </w:pPr>
            <w:r>
              <w:rPr>
                <w:sz w:val="24"/>
                <w:szCs w:val="24"/>
              </w:rPr>
              <w:t xml:space="preserve">Стабилизация частоты сети, резервное питание потребителей</w:t>
            </w:r>
          </w:p>
        </w:tc>
        <w:tc>
          <w:tcPr>
            <w:vAlign w:val="center"/>
          </w:tcPr>
          <w:p>
            <w:pPr>
              <w:ind w:firstLine="0"/>
              <w:pStyle w:val="Compact"/>
              <w:jc w:val="center"/>
            </w:pPr>
            <w:r>
              <w:rPr>
                <w:sz w:val="24"/>
                <w:szCs w:val="24"/>
              </w:rPr>
              <w:t xml:space="preserve">Деградация батарей со временем, высокие требования к пожаробезопасности</w:t>
            </w:r>
          </w:p>
        </w:tc>
      </w:tr>
      <w:tr>
        <w:tc>
          <w:tcPr>
            <w:vAlign w:val="center"/>
          </w:tcPr>
          <w:p>
            <w:pPr>
              <w:ind w:firstLine="0"/>
              <w:pStyle w:val="Compact"/>
              <w:jc w:val="center"/>
            </w:pPr>
            <w:r>
              <w:rPr>
                <w:sz w:val="24"/>
                <w:szCs w:val="24"/>
              </w:rPr>
              <w:t xml:space="preserve">Технология V2G (Vehicle-to-Grid)</w:t>
            </w:r>
          </w:p>
        </w:tc>
        <w:tc>
          <w:tcPr>
            <w:vAlign w:val="center"/>
          </w:tcPr>
          <w:p>
            <w:pPr>
              <w:ind w:firstLine="0"/>
              <w:pStyle w:val="Compact"/>
              <w:jc w:val="center"/>
            </w:pPr>
            <w:r>
              <w:rPr>
                <w:sz w:val="24"/>
                <w:szCs w:val="24"/>
              </w:rPr>
              <w:t xml:space="preserve">Двустороннее зарядное устройство электромобилей для выдачи тока в сеть</w:t>
            </w:r>
          </w:p>
        </w:tc>
        <w:tc>
          <w:tcPr>
            <w:vAlign w:val="center"/>
          </w:tcPr>
          <w:p>
            <w:pPr>
              <w:ind w:firstLine="0"/>
              <w:pStyle w:val="Compact"/>
              <w:jc w:val="center"/>
            </w:pPr>
            <w:r>
              <w:rPr>
                <w:sz w:val="24"/>
                <w:szCs w:val="24"/>
              </w:rPr>
              <w:t xml:space="preserve">Использование мобильного парка автотранспорта в качестве буфера</w:t>
            </w:r>
          </w:p>
        </w:tc>
        <w:tc>
          <w:tcPr>
            <w:vAlign w:val="center"/>
          </w:tcPr>
          <w:p>
            <w:pPr>
              <w:ind w:firstLine="0"/>
              <w:pStyle w:val="Compact"/>
              <w:jc w:val="center"/>
            </w:pPr>
            <w:r>
              <w:rPr>
                <w:sz w:val="24"/>
                <w:szCs w:val="24"/>
              </w:rPr>
              <w:t xml:space="preserve">Ускоренный износ аккумуляторов электромобилей при частых циклах</w:t>
            </w:r>
          </w:p>
        </w:tc>
      </w:tr>
    </w:tbl>
    <w:p>
      <w:pPr>
        <w:pStyle w:val="BodyText"/>
      </w:pPr>
      <w:r>
        <w:t xml:space="preserve">Практическая реализация и синергетический эффект описанных технологий позволяют минимизировать зависимость мегаполисов от ископаемого топлива, обеспечить устойчивость энергоснабжения при экстремальных климатических явлениях и создать основу для постепенной декарбонизации всех сфер коммунального хозяйства.</w:t>
      </w:r>
    </w:p>
    <w:p>
      <w:r>
        <w:br w:type="page"/>
      </w:r>
    </w:p>
    <w:bookmarkEnd w:id="23"/>
    <w:bookmarkStart w:id="24" w:name="sec-5"/>
    <w:p>
      <w:pPr>
        <w:spacing w:line="360" w:lineRule="auto" w:after="40" w:afterAutospacing="0" w:beforeAutospacing="0"/>
        <w:pStyle w:val="Heading2"/>
      </w:pPr>
      <w:r>
        <w:t xml:space="preserve">4. Кризис накопления муниципальных отходов</w:t>
      </w:r>
    </w:p>
    <w:p>
      <w:pPr>
        <w:pStyle w:val="FirstParagraph"/>
      </w:pPr>
      <w:r>
        <w:t xml:space="preserve">Стремительный рост численности городского населения и доминирование линейных моделей потребления в современных мегаполисах привели к беспрецедентному обострению проблемы накопления муниципальных твердых коммунальных отходов (ТКО). Согласно оценкам международных экологических организаций, крупные агломерации ежегодно генерируют сотни миллионов тонн отходов, причем темпы образования мусора сегодня существенно опережают возможности коммунальной инфраструктуры по его безопасной утилизации, провоцируя глубокий системный кризис. В условиях жестких пространственных ограничений крупных городов традиционные линейные подходы к обращению с отходами демонстрируют полную несостоятельность.</w:t>
      </w:r>
    </w:p>
    <w:p>
      <w:pPr>
        <w:pStyle w:val="BodyText"/>
      </w:pPr>
      <w:r>
        <w:t xml:space="preserve">Главным проявлением этого кризиса выступает критическое переполнение существующих полигонов и острая нехватка свободных земельных ресурсов для обустройства новых объектов захоронения. Земля в черте мегаполисов и на их периферии имеет высокую экономическую ценность, а проекты по расширению полигонов неизбежно наталкиваются на жесткое сопротивление местного населения (феномен NIMBY — «не в моем дворе»). Транспортировка же отходов на дальние расстояния сопряжена с колоссальными транспортными издержками и дополнительным загрязнением атмосферного воздуха дизельной техникой. С точки зрения экологии, классические свалки представляют собой масштабные очаги загрязнения. Образующийся высокотоксичный фильтрат проникает глубоко в водоносные горизонты, загрязняя подземные воды солями тяжелых металлов и стойкими органическими загрязнителями. Не менее опасна эмиссия свалочного газа, состоящего преимущественно из метана и углекислого газа, которая вносит значительный вклад в глобальный парниковый эффект и локальный смог.</w:t>
      </w:r>
    </w:p>
    <w:p>
      <w:pPr>
        <w:pStyle w:val="BodyText"/>
      </w:pPr>
      <w:r>
        <w:t xml:space="preserve">Ситуацию серьезно осложняет изменение морфологической структуры отходов. В составе ТКО лавинообразно увеличилась доля полимерных и сложных композитных материалов, которые не подвержены естественному биоразложению и сохраняются в экосистемах сотни лет, аккумулируя токсины. Характерные категории городских отходов и сопутствующие экологические риски представлены в следующей таблице:</w:t>
      </w:r>
    </w:p>
    <w:p>
      <w:pPr>
        <w:jc w:val="left"/>
        <w:ind w:firstLine="0"/>
        <w:spacing w:after="120"/>
      </w:pPr>
      <w:r>
        <w:rPr>
          <w:b/>
        </w:rPr>
        <w:t>Таблица 4 – Структура и экологические риски твердых коммунальных отходов</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Категория отходов</w:t>
            </w:r>
          </w:p>
        </w:tc>
        <w:tc>
          <w:tcPr>
            <w:vAlign w:val="center"/>
          </w:tcPr>
          <w:p>
            <w:pPr>
              <w:ind w:firstLine="0"/>
              <w:pStyle w:val="Compact"/>
              <w:jc w:val="center"/>
            </w:pPr>
            <w:r>
              <w:rPr>
                <w:b/>
                <w:bCs/>
                <w:sz w:val="24"/>
                <w:szCs w:val="24"/>
              </w:rPr>
              <w:t xml:space="preserve">Доля в объеме ТКО, %</w:t>
            </w:r>
          </w:p>
        </w:tc>
        <w:tc>
          <w:tcPr>
            <w:vAlign w:val="center"/>
          </w:tcPr>
          <w:p>
            <w:pPr>
              <w:ind w:firstLine="0"/>
              <w:pStyle w:val="Compact"/>
              <w:jc w:val="center"/>
            </w:pPr>
            <w:r>
              <w:rPr>
                <w:b/>
                <w:bCs/>
                <w:sz w:val="24"/>
                <w:szCs w:val="24"/>
              </w:rPr>
              <w:t xml:space="preserve">Период разложения</w:t>
            </w:r>
          </w:p>
        </w:tc>
        <w:tc>
          <w:tcPr>
            <w:vAlign w:val="center"/>
          </w:tcPr>
          <w:p>
            <w:pPr>
              <w:ind w:firstLine="0"/>
              <w:pStyle w:val="Compact"/>
              <w:jc w:val="center"/>
            </w:pPr>
            <w:r>
              <w:rPr>
                <w:b/>
                <w:bCs/>
                <w:sz w:val="24"/>
                <w:szCs w:val="24"/>
              </w:rPr>
              <w:t xml:space="preserve">Основная угроза для мегаполиса</w:t>
            </w:r>
          </w:p>
        </w:tc>
      </w:tr>
      <w:tr>
        <w:tc>
          <w:tcPr>
            <w:vAlign w:val="center"/>
          </w:tcPr>
          <w:p>
            <w:pPr>
              <w:ind w:firstLine="0"/>
              <w:pStyle w:val="Compact"/>
              <w:jc w:val="center"/>
            </w:pPr>
            <w:r>
              <w:rPr>
                <w:sz w:val="24"/>
                <w:szCs w:val="24"/>
              </w:rPr>
              <w:t xml:space="preserve">Пищевые и органические</w:t>
            </w:r>
          </w:p>
        </w:tc>
        <w:tc>
          <w:tcPr>
            <w:vAlign w:val="center"/>
          </w:tcPr>
          <w:p>
            <w:pPr>
              <w:ind w:firstLine="0"/>
              <w:pStyle w:val="Compact"/>
              <w:jc w:val="center"/>
            </w:pPr>
            <w:r>
              <w:rPr>
                <w:sz w:val="24"/>
                <w:szCs w:val="24"/>
              </w:rPr>
              <w:t xml:space="preserve">30–45</w:t>
            </w:r>
          </w:p>
        </w:tc>
        <w:tc>
          <w:tcPr>
            <w:vAlign w:val="center"/>
          </w:tcPr>
          <w:p>
            <w:pPr>
              <w:ind w:firstLine="0"/>
              <w:pStyle w:val="Compact"/>
              <w:jc w:val="center"/>
            </w:pPr>
            <w:r>
              <w:rPr>
                <w:sz w:val="24"/>
                <w:szCs w:val="24"/>
              </w:rPr>
              <w:t xml:space="preserve">Несколько недель/месяцев</w:t>
            </w:r>
          </w:p>
        </w:tc>
        <w:tc>
          <w:tcPr>
            <w:vAlign w:val="center"/>
          </w:tcPr>
          <w:p>
            <w:pPr>
              <w:ind w:firstLine="0"/>
              <w:pStyle w:val="Compact"/>
              <w:jc w:val="center"/>
            </w:pPr>
            <w:r>
              <w:rPr>
                <w:sz w:val="24"/>
                <w:szCs w:val="24"/>
              </w:rPr>
              <w:t xml:space="preserve">Запах, метан, фильтрат, размножение векторов болезней</w:t>
            </w:r>
          </w:p>
        </w:tc>
      </w:tr>
      <w:tr>
        <w:tc>
          <w:tcPr>
            <w:vAlign w:val="center"/>
          </w:tcPr>
          <w:p>
            <w:pPr>
              <w:ind w:firstLine="0"/>
              <w:pStyle w:val="Compact"/>
              <w:jc w:val="center"/>
            </w:pPr>
            <w:r>
              <w:rPr>
                <w:sz w:val="24"/>
                <w:szCs w:val="24"/>
              </w:rPr>
              <w:t xml:space="preserve">Пластики и полимеры</w:t>
            </w:r>
          </w:p>
        </w:tc>
        <w:tc>
          <w:tcPr>
            <w:vAlign w:val="center"/>
          </w:tcPr>
          <w:p>
            <w:pPr>
              <w:ind w:firstLine="0"/>
              <w:pStyle w:val="Compact"/>
              <w:jc w:val="center"/>
            </w:pPr>
            <w:r>
              <w:rPr>
                <w:sz w:val="24"/>
                <w:szCs w:val="24"/>
              </w:rPr>
              <w:t xml:space="preserve">15–25</w:t>
            </w:r>
          </w:p>
        </w:tc>
        <w:tc>
          <w:tcPr>
            <w:vAlign w:val="center"/>
          </w:tcPr>
          <w:p>
            <w:pPr>
              <w:ind w:firstLine="0"/>
              <w:pStyle w:val="Compact"/>
              <w:jc w:val="center"/>
            </w:pPr>
            <w:r>
              <w:rPr>
                <w:sz w:val="24"/>
                <w:szCs w:val="24"/>
              </w:rPr>
              <w:t xml:space="preserve">От 100 до 500 лет</w:t>
            </w:r>
          </w:p>
        </w:tc>
        <w:tc>
          <w:tcPr>
            <w:vAlign w:val="center"/>
          </w:tcPr>
          <w:p>
            <w:pPr>
              <w:ind w:firstLine="0"/>
              <w:pStyle w:val="Compact"/>
              <w:jc w:val="center"/>
            </w:pPr>
            <w:r>
              <w:rPr>
                <w:sz w:val="24"/>
                <w:szCs w:val="24"/>
              </w:rPr>
              <w:t xml:space="preserve">Накопление микропластика, выделение канцерогенов при горении</w:t>
            </w:r>
          </w:p>
        </w:tc>
      </w:tr>
      <w:tr>
        <w:tc>
          <w:tcPr>
            <w:vAlign w:val="center"/>
          </w:tcPr>
          <w:p>
            <w:pPr>
              <w:ind w:firstLine="0"/>
              <w:pStyle w:val="Compact"/>
              <w:jc w:val="center"/>
            </w:pPr>
            <w:r>
              <w:rPr>
                <w:sz w:val="24"/>
                <w:szCs w:val="24"/>
              </w:rPr>
              <w:t xml:space="preserve">Бумага и картон</w:t>
            </w:r>
          </w:p>
        </w:tc>
        <w:tc>
          <w:tcPr>
            <w:vAlign w:val="center"/>
          </w:tcPr>
          <w:p>
            <w:pPr>
              <w:ind w:firstLine="0"/>
              <w:pStyle w:val="Compact"/>
              <w:jc w:val="center"/>
            </w:pPr>
            <w:r>
              <w:rPr>
                <w:sz w:val="24"/>
                <w:szCs w:val="24"/>
              </w:rPr>
              <w:t xml:space="preserve">20–30</w:t>
            </w:r>
          </w:p>
        </w:tc>
        <w:tc>
          <w:tcPr>
            <w:vAlign w:val="center"/>
          </w:tcPr>
          <w:p>
            <w:pPr>
              <w:ind w:firstLine="0"/>
              <w:pStyle w:val="Compact"/>
              <w:jc w:val="center"/>
            </w:pPr>
            <w:r>
              <w:rPr>
                <w:sz w:val="24"/>
                <w:szCs w:val="24"/>
              </w:rPr>
              <w:t xml:space="preserve">От нескольких недель до 2 лет</w:t>
            </w:r>
          </w:p>
        </w:tc>
        <w:tc>
          <w:tcPr>
            <w:vAlign w:val="center"/>
          </w:tcPr>
          <w:p>
            <w:pPr>
              <w:ind w:firstLine="0"/>
              <w:pStyle w:val="Compact"/>
              <w:jc w:val="center"/>
            </w:pPr>
            <w:r>
              <w:rPr>
                <w:sz w:val="24"/>
                <w:szCs w:val="24"/>
              </w:rPr>
              <w:t xml:space="preserve">Загрязнение территорий, нерациональное использование ресурсов</w:t>
            </w:r>
          </w:p>
        </w:tc>
      </w:tr>
      <w:tr>
        <w:tc>
          <w:tcPr>
            <w:vAlign w:val="center"/>
          </w:tcPr>
          <w:p>
            <w:pPr>
              <w:ind w:firstLine="0"/>
              <w:pStyle w:val="Compact"/>
              <w:jc w:val="center"/>
            </w:pPr>
            <w:r>
              <w:rPr>
                <w:sz w:val="24"/>
                <w:szCs w:val="24"/>
              </w:rPr>
              <w:t xml:space="preserve">Электронные отходы</w:t>
            </w:r>
          </w:p>
        </w:tc>
        <w:tc>
          <w:tcPr>
            <w:vAlign w:val="center"/>
          </w:tcPr>
          <w:p>
            <w:pPr>
              <w:ind w:firstLine="0"/>
              <w:pStyle w:val="Compact"/>
              <w:jc w:val="center"/>
            </w:pPr>
            <w:r>
              <w:rPr>
                <w:sz w:val="24"/>
                <w:szCs w:val="24"/>
              </w:rPr>
              <w:t xml:space="preserve">1–3</w:t>
            </w:r>
          </w:p>
        </w:tc>
        <w:tc>
          <w:tcPr>
            <w:vAlign w:val="center"/>
          </w:tcPr>
          <w:p>
            <w:pPr>
              <w:ind w:firstLine="0"/>
              <w:pStyle w:val="Compact"/>
              <w:jc w:val="center"/>
            </w:pPr>
            <w:r>
              <w:rPr>
                <w:sz w:val="24"/>
                <w:szCs w:val="24"/>
              </w:rPr>
              <w:t xml:space="preserve">Практически не разлагаются</w:t>
            </w:r>
          </w:p>
        </w:tc>
        <w:tc>
          <w:tcPr>
            <w:vAlign w:val="center"/>
          </w:tcPr>
          <w:p>
            <w:pPr>
              <w:ind w:firstLine="0"/>
              <w:pStyle w:val="Compact"/>
              <w:jc w:val="center"/>
            </w:pPr>
            <w:r>
              <w:rPr>
                <w:sz w:val="24"/>
                <w:szCs w:val="24"/>
              </w:rPr>
              <w:t xml:space="preserve">Попадание ртути, свинца, кадмия в почву и грунтовые воды</w:t>
            </w:r>
          </w:p>
        </w:tc>
      </w:tr>
    </w:tbl>
    <w:p>
      <w:pPr>
        <w:pStyle w:val="BodyText"/>
      </w:pPr>
      <w:r>
        <w:t xml:space="preserve">Таким образом, современный кризис накопления муниципальных отходов в мегаполисах вышел далеко за рамки простой коммунально-хозяйственной задачи. Он является комплексным деструктивным фактором, ухудшающим качество жизни людей, подрывающим стабильность биогеоценозов и требующим скорейшего отказа от практики полигонного захоронения в пользу систем замкнутого цикла.</w:t>
      </w:r>
    </w:p>
    <w:p>
      <w:r>
        <w:br w:type="page"/>
      </w:r>
    </w:p>
    <w:bookmarkEnd w:id="24"/>
    <w:bookmarkStart w:id="25" w:name="sec-6"/>
    <w:p>
      <w:pPr>
        <w:spacing w:line="360" w:lineRule="auto" w:after="40" w:afterAutospacing="0" w:beforeAutospacing="0"/>
        <w:pStyle w:val="Heading2"/>
      </w:pPr>
      <w:r>
        <w:t xml:space="preserve">5. Системы раздельного сбора и сортировки</w:t>
      </w:r>
    </w:p>
    <w:p>
      <w:pPr>
        <w:pStyle w:val="FirstParagraph"/>
      </w:pPr>
      <w:r>
        <w:t xml:space="preserve">Переход от линейной модели обращения с твердыми коммунальными отходами (ТКО) к циркулярной экономике невозможен без создания эффективной и технологичной инфраструктуры раздельного сбора и сортировки [12]. Первичным звеном этой цепи выступает селективный сбор отходов непосредственно в местах их образования. В современной городской практике наиболее распространены двухконтейнерная (сухие/мокрые, или перерабатываемые/смешанные отходы) и многопотоковая системы сбора, разделяющие стекло, пластик, бумагу, металл и органику. Успех этого этапа во многом предопределяется поведенческими паттернами горожан [19], экономическими стимулами (например, концепцией «плати за то, что выбрасываешь» — Pay-As-You-Throw) и внедрением интеллектуальных технологий, таких как контейнеры со встроенными датчиками заполнения и RFID-метками для оптимизации маршрутов мусоровозов.</w:t>
      </w:r>
    </w:p>
    <w:p>
      <w:pPr>
        <w:pStyle w:val="BodyText"/>
      </w:pPr>
      <w:r>
        <w:t xml:space="preserve">Однако одного лишь сознательного разделения мусора населением недостаточно для получения высококачественного вторичного сырья из-за неизбежного фактора кросс-контаминации. Вторым критическим рубежом становятся современные мусоросортировочные комплексы (МСК) [18], где смешанные и раздельно собранные потоки проходят глубокую механическую и автоматизированную сепарацию. Прогресс в этой области связан с переходом от ручного труда к роботизированным системам, использующим искусственный интеллект, спектрометрический анализ и пневматическое разделение.</w:t>
      </w:r>
    </w:p>
    <w:p>
      <w:pPr>
        <w:pStyle w:val="BodyText"/>
      </w:pPr>
      <w:r>
        <w:t xml:space="preserve">Для оптимизации процессов на МСК применяется комплекс последовательных технологических решений. Каждая технология ориентирована на выделение определенного морфологического компонента отходов по его физико-химическим свойствам.</w:t>
      </w:r>
    </w:p>
    <w:p>
      <w:pPr>
        <w:jc w:val="left"/>
        <w:ind w:firstLine="0"/>
        <w:spacing w:after="120"/>
      </w:pPr>
      <w:r>
        <w:rPr>
          <w:b/>
        </w:rPr>
        <w:t>Таблица 5 – Технологические методы сортировки твердых коммунальных отходов</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Технология сортировки</w:t>
            </w:r>
          </w:p>
        </w:tc>
        <w:tc>
          <w:tcPr>
            <w:vAlign w:val="center"/>
          </w:tcPr>
          <w:p>
            <w:pPr>
              <w:ind w:firstLine="0"/>
              <w:pStyle w:val="Compact"/>
              <w:jc w:val="center"/>
            </w:pPr>
            <w:r>
              <w:rPr>
                <w:b/>
                <w:bCs/>
                <w:sz w:val="24"/>
                <w:szCs w:val="24"/>
              </w:rPr>
              <w:t xml:space="preserve">Физический принцип работы</w:t>
            </w:r>
          </w:p>
        </w:tc>
        <w:tc>
          <w:tcPr>
            <w:vAlign w:val="center"/>
          </w:tcPr>
          <w:p>
            <w:pPr>
              <w:ind w:firstLine="0"/>
              <w:pStyle w:val="Compact"/>
              <w:jc w:val="center"/>
            </w:pPr>
            <w:r>
              <w:rPr>
                <w:b/>
                <w:bCs/>
                <w:sz w:val="24"/>
                <w:szCs w:val="24"/>
              </w:rPr>
              <w:t xml:space="preserve">Целевая фракция отходов</w:t>
            </w:r>
          </w:p>
        </w:tc>
        <w:tc>
          <w:tcPr>
            <w:vAlign w:val="center"/>
          </w:tcPr>
          <w:p>
            <w:pPr>
              <w:ind w:firstLine="0"/>
              <w:pStyle w:val="Compact"/>
              <w:jc w:val="center"/>
            </w:pPr>
            <w:r>
              <w:rPr>
                <w:b/>
                <w:bCs/>
                <w:sz w:val="24"/>
                <w:szCs w:val="24"/>
              </w:rPr>
              <w:t xml:space="preserve">Эффективность извлечения (%)</w:t>
            </w:r>
          </w:p>
        </w:tc>
      </w:tr>
      <w:tr>
        <w:tc>
          <w:tcPr>
            <w:vAlign w:val="center"/>
          </w:tcPr>
          <w:p>
            <w:pPr>
              <w:ind w:firstLine="0"/>
              <w:pStyle w:val="Compact"/>
              <w:jc w:val="center"/>
            </w:pPr>
            <w:r>
              <w:rPr>
                <w:sz w:val="24"/>
                <w:szCs w:val="24"/>
              </w:rPr>
              <w:t xml:space="preserve">Оптическая сепарация (NIR)</w:t>
            </w:r>
          </w:p>
        </w:tc>
        <w:tc>
          <w:tcPr>
            <w:vAlign w:val="center"/>
          </w:tcPr>
          <w:p>
            <w:pPr>
              <w:ind w:firstLine="0"/>
              <w:pStyle w:val="Compact"/>
              <w:jc w:val="center"/>
            </w:pPr>
            <w:r>
              <w:rPr>
                <w:sz w:val="24"/>
                <w:szCs w:val="24"/>
              </w:rPr>
              <w:t xml:space="preserve">Ближняя инфракрасная спектроскопия</w:t>
            </w:r>
          </w:p>
        </w:tc>
        <w:tc>
          <w:tcPr>
            <w:vAlign w:val="center"/>
          </w:tcPr>
          <w:p>
            <w:pPr>
              <w:ind w:firstLine="0"/>
              <w:pStyle w:val="Compact"/>
              <w:jc w:val="center"/>
            </w:pPr>
            <w:r>
              <w:rPr>
                <w:sz w:val="24"/>
                <w:szCs w:val="24"/>
              </w:rPr>
              <w:t xml:space="preserve">Полимеры (PET, HDPE, PP), макулатура</w:t>
            </w:r>
          </w:p>
        </w:tc>
        <w:tc>
          <w:tcPr>
            <w:vAlign w:val="center"/>
          </w:tcPr>
          <w:p>
            <w:pPr>
              <w:ind w:firstLine="0"/>
              <w:pStyle w:val="Compact"/>
              <w:jc w:val="center"/>
            </w:pPr>
            <w:r>
              <w:rPr>
                <w:sz w:val="24"/>
                <w:szCs w:val="24"/>
              </w:rPr>
              <w:t xml:space="preserve">85–95</w:t>
            </w:r>
          </w:p>
        </w:tc>
      </w:tr>
      <w:tr>
        <w:tc>
          <w:tcPr>
            <w:vAlign w:val="center"/>
          </w:tcPr>
          <w:p>
            <w:pPr>
              <w:ind w:firstLine="0"/>
              <w:pStyle w:val="Compact"/>
              <w:jc w:val="center"/>
            </w:pPr>
            <w:r>
              <w:rPr>
                <w:sz w:val="24"/>
                <w:szCs w:val="24"/>
              </w:rPr>
              <w:t xml:space="preserve">Магнитная сепарация</w:t>
            </w:r>
          </w:p>
        </w:tc>
        <w:tc>
          <w:tcPr>
            <w:vAlign w:val="center"/>
          </w:tcPr>
          <w:p>
            <w:pPr>
              <w:ind w:firstLine="0"/>
              <w:pStyle w:val="Compact"/>
              <w:jc w:val="center"/>
            </w:pPr>
            <w:r>
              <w:rPr>
                <w:sz w:val="24"/>
                <w:szCs w:val="24"/>
              </w:rPr>
              <w:t xml:space="preserve">Магнитное поле постоянных магнитов</w:t>
            </w:r>
          </w:p>
        </w:tc>
        <w:tc>
          <w:tcPr>
            <w:vAlign w:val="center"/>
          </w:tcPr>
          <w:p>
            <w:pPr>
              <w:ind w:firstLine="0"/>
              <w:pStyle w:val="Compact"/>
              <w:jc w:val="center"/>
            </w:pPr>
            <w:r>
              <w:rPr>
                <w:sz w:val="24"/>
                <w:szCs w:val="24"/>
              </w:rPr>
              <w:t xml:space="preserve">Черные металлы (жесть, сталь)</w:t>
            </w:r>
          </w:p>
        </w:tc>
        <w:tc>
          <w:tcPr>
            <w:vAlign w:val="center"/>
          </w:tcPr>
          <w:p>
            <w:pPr>
              <w:ind w:firstLine="0"/>
              <w:pStyle w:val="Compact"/>
              <w:jc w:val="center"/>
            </w:pPr>
            <w:r>
              <w:rPr>
                <w:sz w:val="24"/>
                <w:szCs w:val="24"/>
              </w:rPr>
              <w:t xml:space="preserve">90–98</w:t>
            </w:r>
          </w:p>
        </w:tc>
      </w:tr>
      <w:tr>
        <w:tc>
          <w:tcPr>
            <w:vAlign w:val="center"/>
          </w:tcPr>
          <w:p>
            <w:pPr>
              <w:ind w:firstLine="0"/>
              <w:pStyle w:val="Compact"/>
              <w:jc w:val="center"/>
            </w:pPr>
            <w:r>
              <w:rPr>
                <w:sz w:val="24"/>
                <w:szCs w:val="24"/>
              </w:rPr>
              <w:t xml:space="preserve">Сепарация вихревыми токами</w:t>
            </w:r>
          </w:p>
        </w:tc>
        <w:tc>
          <w:tcPr>
            <w:vAlign w:val="center"/>
          </w:tcPr>
          <w:p>
            <w:pPr>
              <w:ind w:firstLine="0"/>
              <w:pStyle w:val="Compact"/>
              <w:jc w:val="center"/>
            </w:pPr>
            <w:r>
              <w:rPr>
                <w:sz w:val="24"/>
                <w:szCs w:val="24"/>
              </w:rPr>
              <w:t xml:space="preserve">Электромагнитная индукция</w:t>
            </w:r>
          </w:p>
        </w:tc>
        <w:tc>
          <w:tcPr>
            <w:vAlign w:val="center"/>
          </w:tcPr>
          <w:p>
            <w:pPr>
              <w:ind w:firstLine="0"/>
              <w:pStyle w:val="Compact"/>
              <w:jc w:val="center"/>
            </w:pPr>
            <w:r>
              <w:rPr>
                <w:sz w:val="24"/>
                <w:szCs w:val="24"/>
              </w:rPr>
              <w:t xml:space="preserve">Цветные металлы (алюминий)</w:t>
            </w:r>
          </w:p>
        </w:tc>
        <w:tc>
          <w:tcPr>
            <w:vAlign w:val="center"/>
          </w:tcPr>
          <w:p>
            <w:pPr>
              <w:ind w:firstLine="0"/>
              <w:pStyle w:val="Compact"/>
              <w:jc w:val="center"/>
            </w:pPr>
            <w:r>
              <w:rPr>
                <w:sz w:val="24"/>
                <w:szCs w:val="24"/>
              </w:rPr>
              <w:t xml:space="preserve">80–90</w:t>
            </w:r>
          </w:p>
        </w:tc>
      </w:tr>
      <w:tr>
        <w:tc>
          <w:tcPr>
            <w:vAlign w:val="center"/>
          </w:tcPr>
          <w:p>
            <w:pPr>
              <w:ind w:firstLine="0"/>
              <w:pStyle w:val="Compact"/>
              <w:jc w:val="center"/>
            </w:pPr>
            <w:r>
              <w:rPr>
                <w:sz w:val="24"/>
                <w:szCs w:val="24"/>
              </w:rPr>
              <w:t xml:space="preserve">Баллистическая сепарация</w:t>
            </w:r>
          </w:p>
        </w:tc>
        <w:tc>
          <w:tcPr>
            <w:vAlign w:val="center"/>
          </w:tcPr>
          <w:p>
            <w:pPr>
              <w:ind w:firstLine="0"/>
              <w:pStyle w:val="Compact"/>
              <w:jc w:val="center"/>
            </w:pPr>
            <w:r>
              <w:rPr>
                <w:sz w:val="24"/>
                <w:szCs w:val="24"/>
              </w:rPr>
              <w:t xml:space="preserve">Кинетическое и гравитационное разделение</w:t>
            </w:r>
          </w:p>
        </w:tc>
        <w:tc>
          <w:tcPr>
            <w:vAlign w:val="center"/>
          </w:tcPr>
          <w:p>
            <w:pPr>
              <w:ind w:firstLine="0"/>
              <w:pStyle w:val="Compact"/>
              <w:jc w:val="center"/>
            </w:pPr>
            <w:r>
              <w:rPr>
                <w:sz w:val="24"/>
                <w:szCs w:val="24"/>
              </w:rPr>
              <w:t xml:space="preserve">Разделение на плоские (2D) и объемные (3D) фракции</w:t>
            </w:r>
          </w:p>
        </w:tc>
        <w:tc>
          <w:tcPr>
            <w:vAlign w:val="center"/>
          </w:tcPr>
          <w:p>
            <w:pPr>
              <w:ind w:firstLine="0"/>
              <w:pStyle w:val="Compact"/>
              <w:jc w:val="center"/>
            </w:pPr>
            <w:r>
              <w:rPr>
                <w:sz w:val="24"/>
                <w:szCs w:val="24"/>
              </w:rPr>
              <w:t xml:space="preserve">75–85</w:t>
            </w:r>
          </w:p>
        </w:tc>
      </w:tr>
      <w:tr>
        <w:tc>
          <w:tcPr>
            <w:vAlign w:val="center"/>
          </w:tcPr>
          <w:p>
            <w:pPr>
              <w:ind w:firstLine="0"/>
              <w:pStyle w:val="Compact"/>
              <w:jc w:val="center"/>
            </w:pPr>
            <w:r>
              <w:rPr>
                <w:sz w:val="24"/>
                <w:szCs w:val="24"/>
              </w:rPr>
              <w:t xml:space="preserve">Воздушная классификация</w:t>
            </w:r>
          </w:p>
        </w:tc>
        <w:tc>
          <w:tcPr>
            <w:vAlign w:val="center"/>
          </w:tcPr>
          <w:p>
            <w:pPr>
              <w:ind w:firstLine="0"/>
              <w:pStyle w:val="Compact"/>
              <w:jc w:val="center"/>
            </w:pPr>
            <w:r>
              <w:rPr>
                <w:sz w:val="24"/>
                <w:szCs w:val="24"/>
              </w:rPr>
              <w:t xml:space="preserve">Пневматическое разделение по плотности и парусу</w:t>
            </w:r>
          </w:p>
        </w:tc>
        <w:tc>
          <w:tcPr>
            <w:vAlign w:val="center"/>
          </w:tcPr>
          <w:p>
            <w:pPr>
              <w:ind w:firstLine="0"/>
              <w:pStyle w:val="Compact"/>
              <w:jc w:val="center"/>
            </w:pPr>
            <w:r>
              <w:rPr>
                <w:sz w:val="24"/>
                <w:szCs w:val="24"/>
              </w:rPr>
              <w:t xml:space="preserve">Легкие фракции (пленка, бумага)</w:t>
            </w:r>
          </w:p>
        </w:tc>
        <w:tc>
          <w:tcPr>
            <w:vAlign w:val="center"/>
          </w:tcPr>
          <w:p>
            <w:pPr>
              <w:ind w:firstLine="0"/>
              <w:pStyle w:val="Compact"/>
              <w:jc w:val="center"/>
            </w:pPr>
            <w:r>
              <w:rPr>
                <w:sz w:val="24"/>
                <w:szCs w:val="24"/>
              </w:rPr>
              <w:t xml:space="preserve">70–80</w:t>
            </w:r>
          </w:p>
        </w:tc>
      </w:tr>
    </w:tbl>
    <w:p>
      <w:pPr>
        <w:pStyle w:val="BodyText"/>
      </w:pPr>
      <w:r>
        <w:t xml:space="preserve">Интеграция подобных автоматизированных систем позволяет не только повысить чистоту извлекаемых вторичных ресурсов до уровня 95–98% [16], что критически важно для их последующей глубокой переработки, но и существенно снизить объемы отходов, направляемых на полигонное захоронение. При этом главным вызовом для мегаполисов остается синхронизация логистических цепочек раздельного сбора с мощностями сортировочных центров, что требует применения цифровых платформ управления коммунальным хозяйством и строгого контроля за качеством сырья на всех этапах его жизненного цикла.</w:t>
      </w:r>
    </w:p>
    <w:p>
      <w:r>
        <w:br w:type="page"/>
      </w:r>
    </w:p>
    <w:bookmarkEnd w:id="25"/>
    <w:bookmarkStart w:id="26" w:name="sec-7"/>
    <w:p>
      <w:pPr>
        <w:spacing w:line="360" w:lineRule="auto" w:after="40" w:afterAutospacing="0" w:beforeAutospacing="0"/>
        <w:pStyle w:val="Heading2"/>
      </w:pPr>
      <w:r>
        <w:t xml:space="preserve">6. Методы переработки и утилизации мусора</w:t>
      </w:r>
    </w:p>
    <w:p>
      <w:pPr>
        <w:pStyle w:val="FirstParagraph"/>
      </w:pPr>
      <w:r>
        <w:t xml:space="preserve">Эффективное управление потоками твердых коммунальных отходов (ТКО) в условиях мегаполисов требует диверсифицированного подхода к выбору методов их переработки и утилизации [18]. Современная иерархия обращения с отходами отдает приоритет материальной регенерации (рециклингу) и биохимической переработке, оставляя термическую утилизацию и захоронение на полигонах в качестве замыкающих звеньев технологической цепочки.</w:t>
      </w:r>
    </w:p>
    <w:p>
      <w:pPr>
        <w:pStyle w:val="BodyText"/>
      </w:pPr>
      <w:r>
        <w:t xml:space="preserve">Материальный рециклинг направлен на возвращение полезных компонентов в хозяйственный оборот. Фракции полимеров, бумаги, картона, стекла и металлов после прохождения автоматизированной сортировки подвергаются измельчению, очистке и грануляции (для пластиков) или переплавке (для металлов и стекла). Это позволяет существенно сократить потребление первичных природных ресурсов и снизить энергозатраты на производство промышленной продукции.</w:t>
      </w:r>
    </w:p>
    <w:p>
      <w:pPr>
        <w:pStyle w:val="BodyText"/>
      </w:pPr>
      <w:r>
        <w:t xml:space="preserve">Органическая фракция ТКО, составляющая в крупных городах от 30% до 50% от общего объема мусора, требует обособленных технологических решений. Основными методами ее утилизации являются аэробное компостирование и анаэробное сбраживание [16]. Аэробное компостирование на специализированных площадках или в закрытых туннелях превращает органику в безопасный почвогрунт или технический мелиорант. Более перспективным с точки зрения климатической нейтральности является анаэробное сбраживание (метановое брожение) в биореакторах [22]. Данный метод позволяет не только получать высококачественные органические удобрения (дигестат), но и генерировать биогаз с высоким содержанием метана, который используется для выработки электрической и тепловой энергии.</w:t>
      </w:r>
    </w:p>
    <w:p>
      <w:pPr>
        <w:pStyle w:val="BodyText"/>
      </w:pPr>
      <w:r>
        <w:t xml:space="preserve">Для фракций, не подлежащих вторичной переработке («хвостов» сортировки), применяются технологии термической утилизации (Waste-to-Energy, WTE) [20]. Современные мусоросжигательные заводы функционируют как полноценные теплоэлектростанции, оснащенные многоступенчатыми системами сухой и мокрой газоочистки, которые нейтрализуют опасные соединения фторидов, хлоридов, диоксинов и тяжелых металлов. Менее распространенными, но технологически продвинутыми методами термической деструкции являются пиролиз (бескислородное термическое разложение) и газификация, позволяющие получать синтез-газ и жидкое пиролизное топливо высокой степени очистки.</w:t>
      </w:r>
    </w:p>
    <w:p>
      <w:pPr>
        <w:pStyle w:val="BodyText"/>
      </w:pPr>
      <w:r>
        <w:t xml:space="preserve">Сравнение ключевых методов переработки и утилизации отходов приведено в таблице.</w:t>
      </w:r>
    </w:p>
    <w:p>
      <w:pPr>
        <w:jc w:val="left"/>
        <w:ind w:firstLine="0"/>
        <w:spacing w:after="120"/>
      </w:pPr>
      <w:r>
        <w:rPr>
          <w:b/>
        </w:rPr>
        <w:t>Таблица 6 – Сравнительная характеристика ключевых методов утилизации отходов</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Метод утилизации</w:t>
            </w:r>
          </w:p>
        </w:tc>
        <w:tc>
          <w:tcPr>
            <w:vAlign w:val="center"/>
          </w:tcPr>
          <w:p>
            <w:pPr>
              <w:ind w:firstLine="0"/>
              <w:pStyle w:val="Compact"/>
              <w:jc w:val="center"/>
            </w:pPr>
            <w:r>
              <w:rPr>
                <w:b/>
                <w:bCs/>
                <w:sz w:val="24"/>
                <w:szCs w:val="24"/>
              </w:rPr>
              <w:t xml:space="preserve">Целевое сырье</w:t>
            </w:r>
          </w:p>
        </w:tc>
        <w:tc>
          <w:tcPr>
            <w:vAlign w:val="center"/>
          </w:tcPr>
          <w:p>
            <w:pPr>
              <w:ind w:firstLine="0"/>
              <w:pStyle w:val="Compact"/>
              <w:jc w:val="center"/>
            </w:pPr>
            <w:r>
              <w:rPr>
                <w:b/>
                <w:bCs/>
                <w:sz w:val="24"/>
                <w:szCs w:val="24"/>
              </w:rPr>
              <w:t xml:space="preserve">Основной полезный продукт</w:t>
            </w:r>
          </w:p>
        </w:tc>
        <w:tc>
          <w:tcPr>
            <w:vAlign w:val="center"/>
          </w:tcPr>
          <w:p>
            <w:pPr>
              <w:ind w:firstLine="0"/>
              <w:pStyle w:val="Compact"/>
              <w:jc w:val="center"/>
            </w:pPr>
            <w:r>
              <w:rPr>
                <w:b/>
                <w:bCs/>
                <w:sz w:val="24"/>
                <w:szCs w:val="24"/>
              </w:rPr>
              <w:t xml:space="preserve">Ключевые экологические риски</w:t>
            </w:r>
          </w:p>
        </w:tc>
      </w:tr>
      <w:tr>
        <w:tc>
          <w:tcPr>
            <w:vAlign w:val="center"/>
          </w:tcPr>
          <w:p>
            <w:pPr>
              <w:ind w:firstLine="0"/>
              <w:pStyle w:val="Compact"/>
              <w:jc w:val="center"/>
            </w:pPr>
            <w:r>
              <w:rPr>
                <w:sz w:val="24"/>
                <w:szCs w:val="24"/>
              </w:rPr>
              <w:t xml:space="preserve">Механический рециклинг</w:t>
            </w:r>
          </w:p>
        </w:tc>
        <w:tc>
          <w:tcPr>
            <w:vAlign w:val="center"/>
          </w:tcPr>
          <w:p>
            <w:pPr>
              <w:ind w:firstLine="0"/>
              <w:pStyle w:val="Compact"/>
              <w:jc w:val="center"/>
            </w:pPr>
            <w:r>
              <w:rPr>
                <w:sz w:val="24"/>
                <w:szCs w:val="24"/>
              </w:rPr>
              <w:t xml:space="preserve">Пластик, стекло, металл, макулатура</w:t>
            </w:r>
          </w:p>
        </w:tc>
        <w:tc>
          <w:tcPr>
            <w:vAlign w:val="center"/>
          </w:tcPr>
          <w:p>
            <w:pPr>
              <w:ind w:firstLine="0"/>
              <w:pStyle w:val="Compact"/>
              <w:jc w:val="center"/>
            </w:pPr>
            <w:r>
              <w:rPr>
                <w:sz w:val="24"/>
                <w:szCs w:val="24"/>
              </w:rPr>
              <w:t xml:space="preserve">Вторичные материальные ресурсы</w:t>
            </w:r>
          </w:p>
        </w:tc>
        <w:tc>
          <w:tcPr>
            <w:vAlign w:val="center"/>
          </w:tcPr>
          <w:p>
            <w:pPr>
              <w:ind w:firstLine="0"/>
              <w:pStyle w:val="Compact"/>
              <w:jc w:val="center"/>
            </w:pPr>
            <w:r>
              <w:rPr>
                <w:sz w:val="24"/>
                <w:szCs w:val="24"/>
              </w:rPr>
              <w:t xml:space="preserve">Низкие (локальные стоки при мойке сырья)</w:t>
            </w:r>
          </w:p>
        </w:tc>
      </w:tr>
      <w:tr>
        <w:tc>
          <w:tcPr>
            <w:vAlign w:val="center"/>
          </w:tcPr>
          <w:p>
            <w:pPr>
              <w:ind w:firstLine="0"/>
              <w:pStyle w:val="Compact"/>
              <w:jc w:val="center"/>
            </w:pPr>
            <w:r>
              <w:rPr>
                <w:sz w:val="24"/>
                <w:szCs w:val="24"/>
              </w:rPr>
              <w:t xml:space="preserve">Компостирование</w:t>
            </w:r>
          </w:p>
        </w:tc>
        <w:tc>
          <w:tcPr>
            <w:vAlign w:val="center"/>
          </w:tcPr>
          <w:p>
            <w:pPr>
              <w:ind w:firstLine="0"/>
              <w:pStyle w:val="Compact"/>
              <w:jc w:val="center"/>
            </w:pPr>
            <w:r>
              <w:rPr>
                <w:sz w:val="24"/>
                <w:szCs w:val="24"/>
              </w:rPr>
              <w:t xml:space="preserve">Садово-парковые и пищевые отходы</w:t>
            </w:r>
          </w:p>
        </w:tc>
        <w:tc>
          <w:tcPr>
            <w:vAlign w:val="center"/>
          </w:tcPr>
          <w:p>
            <w:pPr>
              <w:ind w:firstLine="0"/>
              <w:pStyle w:val="Compact"/>
              <w:jc w:val="center"/>
            </w:pPr>
            <w:r>
              <w:rPr>
                <w:sz w:val="24"/>
                <w:szCs w:val="24"/>
              </w:rPr>
              <w:t xml:space="preserve">Почвогрунт, биогумус</w:t>
            </w:r>
          </w:p>
        </w:tc>
        <w:tc>
          <w:tcPr>
            <w:vAlign w:val="center"/>
          </w:tcPr>
          <w:p>
            <w:pPr>
              <w:ind w:firstLine="0"/>
              <w:pStyle w:val="Compact"/>
              <w:jc w:val="center"/>
            </w:pPr>
            <w:r>
              <w:rPr>
                <w:sz w:val="24"/>
                <w:szCs w:val="24"/>
              </w:rPr>
              <w:t xml:space="preserve">Эмиссия парниковых газов, запах</w:t>
            </w:r>
          </w:p>
        </w:tc>
      </w:tr>
      <w:tr>
        <w:tc>
          <w:tcPr>
            <w:vAlign w:val="center"/>
          </w:tcPr>
          <w:p>
            <w:pPr>
              <w:ind w:firstLine="0"/>
              <w:pStyle w:val="Compact"/>
              <w:jc w:val="center"/>
            </w:pPr>
            <w:r>
              <w:rPr>
                <w:sz w:val="24"/>
                <w:szCs w:val="24"/>
              </w:rPr>
              <w:t xml:space="preserve">Анаэробное сбраживание</w:t>
            </w:r>
          </w:p>
        </w:tc>
        <w:tc>
          <w:tcPr>
            <w:vAlign w:val="center"/>
          </w:tcPr>
          <w:p>
            <w:pPr>
              <w:ind w:firstLine="0"/>
              <w:pStyle w:val="Compact"/>
              <w:jc w:val="center"/>
            </w:pPr>
            <w:r>
              <w:rPr>
                <w:sz w:val="24"/>
                <w:szCs w:val="24"/>
              </w:rPr>
              <w:t xml:space="preserve">Органическая фракция ТКО</w:t>
            </w:r>
          </w:p>
        </w:tc>
        <w:tc>
          <w:tcPr>
            <w:vAlign w:val="center"/>
          </w:tcPr>
          <w:p>
            <w:pPr>
              <w:ind w:firstLine="0"/>
              <w:pStyle w:val="Compact"/>
              <w:jc w:val="center"/>
            </w:pPr>
            <w:r>
              <w:rPr>
                <w:sz w:val="24"/>
                <w:szCs w:val="24"/>
              </w:rPr>
              <w:t xml:space="preserve">Биогаз, жидкий и твердый дигестат</w:t>
            </w:r>
          </w:p>
        </w:tc>
        <w:tc>
          <w:tcPr>
            <w:vAlign w:val="center"/>
          </w:tcPr>
          <w:p>
            <w:pPr>
              <w:ind w:firstLine="0"/>
              <w:pStyle w:val="Compact"/>
              <w:jc w:val="center"/>
            </w:pPr>
            <w:r>
              <w:rPr>
                <w:sz w:val="24"/>
                <w:szCs w:val="24"/>
              </w:rPr>
              <w:t xml:space="preserve">Риск аварийных утечек метана</w:t>
            </w:r>
          </w:p>
        </w:tc>
      </w:tr>
      <w:tr>
        <w:tc>
          <w:tcPr>
            <w:vAlign w:val="center"/>
          </w:tcPr>
          <w:p>
            <w:pPr>
              <w:ind w:firstLine="0"/>
              <w:pStyle w:val="Compact"/>
              <w:jc w:val="center"/>
            </w:pPr>
            <w:r>
              <w:rPr>
                <w:sz w:val="24"/>
                <w:szCs w:val="24"/>
              </w:rPr>
              <w:t xml:space="preserve">Термическая утилизация</w:t>
            </w:r>
          </w:p>
        </w:tc>
        <w:tc>
          <w:tcPr>
            <w:vAlign w:val="center"/>
          </w:tcPr>
          <w:p>
            <w:pPr>
              <w:ind w:firstLine="0"/>
              <w:pStyle w:val="Compact"/>
              <w:jc w:val="center"/>
            </w:pPr>
            <w:r>
              <w:rPr>
                <w:sz w:val="24"/>
                <w:szCs w:val="24"/>
              </w:rPr>
              <w:t xml:space="preserve">Несортируемые ТКО, хвосты сортировки</w:t>
            </w:r>
          </w:p>
        </w:tc>
        <w:tc>
          <w:tcPr>
            <w:vAlign w:val="center"/>
          </w:tcPr>
          <w:p>
            <w:pPr>
              <w:ind w:firstLine="0"/>
              <w:pStyle w:val="Compact"/>
              <w:jc w:val="center"/>
            </w:pPr>
            <w:r>
              <w:rPr>
                <w:sz w:val="24"/>
                <w:szCs w:val="24"/>
              </w:rPr>
              <w:t xml:space="preserve">Тепловая и электрическая энергия</w:t>
            </w:r>
          </w:p>
        </w:tc>
        <w:tc>
          <w:tcPr>
            <w:vAlign w:val="center"/>
          </w:tcPr>
          <w:p>
            <w:pPr>
              <w:ind w:firstLine="0"/>
              <w:pStyle w:val="Compact"/>
              <w:jc w:val="center"/>
            </w:pPr>
            <w:r>
              <w:rPr>
                <w:sz w:val="24"/>
                <w:szCs w:val="24"/>
              </w:rPr>
              <w:t xml:space="preserve">Образование токсичной золы, выбросы газов</w:t>
            </w:r>
          </w:p>
        </w:tc>
      </w:tr>
    </w:tbl>
    <w:p>
      <w:pPr>
        <w:pStyle w:val="BodyText"/>
      </w:pPr>
      <w:r>
        <w:t xml:space="preserve">Захоронение отходов на полигонах рассматривается как наименее предпочтительный метод, допустимый исключительно для инертных хвостов. При этом современные полигоны обязаны функционировать по принципу санитарных зон: обладать защитным геомембранным экраном для предотвращения загрязнения грунтовых вод фильтратом и быть оборудованными системами активного сбора и утилизации свалочного газа, предотвращающими его попадание в атмосферу. Только интеграция всех указанных подходов в рамках концепции циркулярной экономики способна избавить мегаполисы от угрозы деградации городской среды и оптимизировать использование вторичных материально-сырьевых ресурсов.</w:t>
      </w:r>
    </w:p>
    <w:p>
      <w:r>
        <w:br w:type="page"/>
      </w:r>
    </w:p>
    <w:bookmarkEnd w:id="26"/>
    <w:bookmarkStart w:id="27" w:name="sec-8"/>
    <w:p>
      <w:pPr>
        <w:spacing w:line="360" w:lineRule="auto" w:after="40" w:afterAutospacing="0" w:beforeAutospacing="0"/>
        <w:pStyle w:val="Heading2"/>
      </w:pPr>
      <w:r>
        <w:t xml:space="preserve">7. Оценка углеродного следа городской инфраструктуры</w:t>
      </w:r>
    </w:p>
    <w:p>
      <w:pPr>
        <w:pStyle w:val="FirstParagraph"/>
      </w:pPr>
      <w:r>
        <w:t xml:space="preserve">Оценка углеродного следа городской инфраструктуры выступает важнейшим аналитическим инструментом, позволяющим количественно определить масштабы антропогенного воздействия мегаполиса на климатическую систему Земли. Под углеродным следом города понимается совокупный объем выбросов парниковых газов (углекислого газа, метана, закиси азота и гидрофторуглеродов), выраженный в эквиваленте диоксида углерода (CO₂-экв.) и образующийся в процессе функционирования всех секторов хозяйства. Сюда входят энергетические системы, промышленность, жилищный сектор, транспорт и система управления отходами. Систематический учет и аудит этих показателей необходим для разработки эффективных муниципальных программ устойчивого развития, декарбонизации и контроля выполнения климатических обязательств.</w:t>
      </w:r>
    </w:p>
    <w:p>
      <w:pPr>
        <w:pStyle w:val="BodyText"/>
      </w:pPr>
      <w:r>
        <w:t xml:space="preserve">Для обеспечения методологической точности и сопоставимости результатов на глобальном уровне применяется Глобальный протокол учета выбросов парниковых газов в городах (Global Protocol for Community-Scale Greenhouse Gas Inventories, GPC). Согласно этой классической методике, все источники выбросов делятся на три ключевые области охвата (Scopes):</w:t>
      </w:r>
    </w:p>
    <w:p>
      <w:pPr>
        <w:jc w:val="left"/>
        <w:ind w:firstLine="0"/>
        <w:spacing w:after="120"/>
      </w:pPr>
      <w:r>
        <w:rPr>
          <w:b/>
        </w:rPr>
        <w:t>Таблица 7 – Классификация источников выбросов парниковых газов в городах по протоколу GPC</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Область охвата</w:t>
            </w:r>
          </w:p>
        </w:tc>
        <w:tc>
          <w:tcPr>
            <w:vAlign w:val="center"/>
          </w:tcPr>
          <w:p>
            <w:pPr>
              <w:ind w:firstLine="0"/>
              <w:pStyle w:val="Compact"/>
              <w:jc w:val="center"/>
            </w:pPr>
            <w:r>
              <w:rPr>
                <w:b/>
                <w:bCs/>
                <w:sz w:val="24"/>
                <w:szCs w:val="24"/>
              </w:rPr>
              <w:t xml:space="preserve">Характер выбросов</w:t>
            </w:r>
          </w:p>
        </w:tc>
        <w:tc>
          <w:tcPr>
            <w:vAlign w:val="center"/>
          </w:tcPr>
          <w:p>
            <w:pPr>
              <w:ind w:firstLine="0"/>
              <w:pStyle w:val="Compact"/>
              <w:jc w:val="center"/>
            </w:pPr>
            <w:r>
              <w:rPr>
                <w:b/>
                <w:bCs/>
                <w:sz w:val="24"/>
                <w:szCs w:val="24"/>
              </w:rPr>
              <w:t xml:space="preserve">Ключевые источники в городе</w:t>
            </w:r>
          </w:p>
        </w:tc>
        <w:tc>
          <w:tcPr>
            <w:vAlign w:val="center"/>
          </w:tcPr>
          <w:p>
            <w:pPr>
              <w:ind w:firstLine="0"/>
              <w:pStyle w:val="Compact"/>
              <w:jc w:val="center"/>
            </w:pPr>
            <w:r>
              <w:rPr>
                <w:b/>
                <w:bCs/>
                <w:sz w:val="24"/>
                <w:szCs w:val="24"/>
              </w:rPr>
              <w:t xml:space="preserve">Методы оценки и учета</w:t>
            </w:r>
          </w:p>
        </w:tc>
      </w:tr>
      <w:tr>
        <w:tc>
          <w:tcPr>
            <w:vAlign w:val="center"/>
          </w:tcPr>
          <w:p>
            <w:pPr>
              <w:ind w:firstLine="0"/>
              <w:pStyle w:val="Compact"/>
              <w:jc w:val="center"/>
            </w:pPr>
            <w:r>
              <w:rPr>
                <w:sz w:val="24"/>
                <w:szCs w:val="24"/>
              </w:rPr>
              <w:t xml:space="preserve">Scope 1</w:t>
            </w:r>
          </w:p>
        </w:tc>
        <w:tc>
          <w:tcPr>
            <w:vAlign w:val="center"/>
          </w:tcPr>
          <w:p>
            <w:pPr>
              <w:ind w:firstLine="0"/>
              <w:pStyle w:val="Compact"/>
              <w:jc w:val="center"/>
            </w:pPr>
            <w:r>
              <w:rPr>
                <w:sz w:val="24"/>
                <w:szCs w:val="24"/>
              </w:rPr>
              <w:t xml:space="preserve">Прямые выбросы</w:t>
            </w:r>
          </w:p>
        </w:tc>
        <w:tc>
          <w:tcPr>
            <w:vAlign w:val="center"/>
          </w:tcPr>
          <w:p>
            <w:pPr>
              <w:ind w:firstLine="0"/>
              <w:pStyle w:val="Compact"/>
              <w:jc w:val="center"/>
            </w:pPr>
            <w:r>
              <w:rPr>
                <w:sz w:val="24"/>
                <w:szCs w:val="24"/>
              </w:rPr>
              <w:t xml:space="preserve">Сжигание топлива в котельных, ДВС транспорта, утечки газов в пределах границ города</w:t>
            </w:r>
          </w:p>
        </w:tc>
        <w:tc>
          <w:tcPr>
            <w:vAlign w:val="center"/>
          </w:tcPr>
          <w:p>
            <w:pPr>
              <w:ind w:firstLine="0"/>
              <w:pStyle w:val="Compact"/>
              <w:jc w:val="center"/>
            </w:pPr>
            <w:r>
              <w:rPr>
                <w:sz w:val="24"/>
                <w:szCs w:val="24"/>
              </w:rPr>
              <w:t xml:space="preserve">Прямой инструментальный контроль, аудит расхода ископаемого топлива</w:t>
            </w:r>
          </w:p>
        </w:tc>
      </w:tr>
      <w:tr>
        <w:tc>
          <w:tcPr>
            <w:vAlign w:val="center"/>
          </w:tcPr>
          <w:p>
            <w:pPr>
              <w:ind w:firstLine="0"/>
              <w:pStyle w:val="Compact"/>
              <w:jc w:val="center"/>
            </w:pPr>
            <w:r>
              <w:rPr>
                <w:sz w:val="24"/>
                <w:szCs w:val="24"/>
              </w:rPr>
              <w:t xml:space="preserve">Scope 2</w:t>
            </w:r>
          </w:p>
        </w:tc>
        <w:tc>
          <w:tcPr>
            <w:vAlign w:val="center"/>
          </w:tcPr>
          <w:p>
            <w:pPr>
              <w:ind w:firstLine="0"/>
              <w:pStyle w:val="Compact"/>
              <w:jc w:val="center"/>
            </w:pPr>
            <w:r>
              <w:rPr>
                <w:sz w:val="24"/>
                <w:szCs w:val="24"/>
              </w:rPr>
              <w:t xml:space="preserve">Косвенные энергетические</w:t>
            </w:r>
          </w:p>
        </w:tc>
        <w:tc>
          <w:tcPr>
            <w:vAlign w:val="center"/>
          </w:tcPr>
          <w:p>
            <w:pPr>
              <w:ind w:firstLine="0"/>
              <w:pStyle w:val="Compact"/>
              <w:jc w:val="center"/>
            </w:pPr>
            <w:r>
              <w:rPr>
                <w:sz w:val="24"/>
                <w:szCs w:val="24"/>
              </w:rPr>
              <w:t xml:space="preserve">Потребление электроэнергии, пара и тепла, выработанных за пределами города</w:t>
            </w:r>
          </w:p>
        </w:tc>
        <w:tc>
          <w:tcPr>
            <w:vAlign w:val="center"/>
          </w:tcPr>
          <w:p>
            <w:pPr>
              <w:ind w:firstLine="0"/>
              <w:pStyle w:val="Compact"/>
              <w:jc w:val="center"/>
            </w:pPr>
            <w:r>
              <w:rPr>
                <w:sz w:val="24"/>
                <w:szCs w:val="24"/>
              </w:rPr>
              <w:t xml:space="preserve">Анализ счетов энергосбытовых компаний, расчет по удельным региональным коэффициентам</w:t>
            </w:r>
          </w:p>
        </w:tc>
      </w:tr>
      <w:tr>
        <w:tc>
          <w:tcPr>
            <w:vAlign w:val="center"/>
          </w:tcPr>
          <w:p>
            <w:pPr>
              <w:ind w:firstLine="0"/>
              <w:pStyle w:val="Compact"/>
              <w:jc w:val="center"/>
            </w:pPr>
            <w:r>
              <w:rPr>
                <w:sz w:val="24"/>
                <w:szCs w:val="24"/>
              </w:rPr>
              <w:t xml:space="preserve">Scope 3</w:t>
            </w:r>
          </w:p>
        </w:tc>
        <w:tc>
          <w:tcPr>
            <w:vAlign w:val="center"/>
          </w:tcPr>
          <w:p>
            <w:pPr>
              <w:ind w:firstLine="0"/>
              <w:pStyle w:val="Compact"/>
              <w:jc w:val="center"/>
            </w:pPr>
            <w:r>
              <w:rPr>
                <w:sz w:val="24"/>
                <w:szCs w:val="24"/>
              </w:rPr>
              <w:t xml:space="preserve">Прочие косвенные</w:t>
            </w:r>
          </w:p>
        </w:tc>
        <w:tc>
          <w:tcPr>
            <w:vAlign w:val="center"/>
          </w:tcPr>
          <w:p>
            <w:pPr>
              <w:ind w:firstLine="0"/>
              <w:pStyle w:val="Compact"/>
              <w:jc w:val="center"/>
            </w:pPr>
            <w:r>
              <w:rPr>
                <w:sz w:val="24"/>
                <w:szCs w:val="24"/>
              </w:rPr>
              <w:t xml:space="preserve">Производство импортируемых товаров, утилизация твердых коммунальных отходов на внешних полигонах</w:t>
            </w:r>
          </w:p>
        </w:tc>
        <w:tc>
          <w:tcPr>
            <w:vAlign w:val="center"/>
          </w:tcPr>
          <w:p>
            <w:pPr>
              <w:ind w:firstLine="0"/>
              <w:pStyle w:val="Compact"/>
              <w:jc w:val="center"/>
            </w:pPr>
            <w:r>
              <w:rPr>
                <w:sz w:val="24"/>
                <w:szCs w:val="24"/>
              </w:rPr>
              <w:t xml:space="preserve">Моделирование цепочек поставок, оценка жизненного цикла (LCA) продуктов</w:t>
            </w:r>
          </w:p>
        </w:tc>
      </w:tr>
    </w:tbl>
    <w:p>
      <w:pPr>
        <w:pStyle w:val="BodyText"/>
      </w:pPr>
      <w:r>
        <w:t xml:space="preserve">В то время как учет прямых выбросов (Scope 1) и потребляемой энергии (Scope 2) базируется на доступных статистических данных о потреблении жидкого и газообразного топлива, а также на тарифах жилищно-коммунального комплекса, оценка прочих косвенных выбросов (Scope 3) представляет собой сложнейший вызов для исследователей [8]. Мегаполисы потребляют огромный объем ресурсов, цепочки поставок которых уходят далеко за их географические границы. Например, «овеществленный» (embodied) углерод, аккумулированный в строительных материалах (цемент, сталь, стекло), зачастую превышает эксплуатационный углеродный след зданий за весь период их службы. Неучет подобных трансграничных потоков ресурсов существенно искажает климатический баланс города и затрудняет принятие эффективных мер муниципального регулирования.</w:t>
      </w:r>
    </w:p>
    <w:p>
      <w:pPr>
        <w:pStyle w:val="BodyText"/>
      </w:pPr>
      <w:r>
        <w:t xml:space="preserve">Для решения подобных аналитических задач в современной урбанистике активно развиваются инновационные технологические подходы:</w:t>
      </w:r>
    </w:p>
    <w:p>
      <w:pPr>
        <w:numPr>
          <w:ilvl w:val="0"/>
          <w:numId w:val="1002"/>
        </w:numPr>
      </w:pPr>
      <w:r>
        <w:t xml:space="preserve">Пространственное моделирование транспортных потоков и энергетических систем с интеграцией геоинформационных технологий (ГИС);</w:t>
      </w:r>
    </w:p>
    <w:p>
      <w:pPr>
        <w:numPr>
          <w:ilvl w:val="0"/>
          <w:numId w:val="1002"/>
        </w:numPr>
      </w:pPr>
      <w:r>
        <w:t xml:space="preserve">Детальные расчеты на базе методологии анализа жизненного цикла (LCA) для рационального планирования циркулярных материальных потоков;</w:t>
      </w:r>
    </w:p>
    <w:p>
      <w:pPr>
        <w:numPr>
          <w:ilvl w:val="0"/>
          <w:numId w:val="1002"/>
        </w:numPr>
      </w:pPr>
      <w:r>
        <w:t xml:space="preserve">Развертывание распределенных сетей IoT-датчиков и газоанализаторов для фиксации фактических концентраций парниковых газов в реальном времени.</w:t>
      </w:r>
    </w:p>
    <w:p>
      <w:pPr>
        <w:pStyle w:val="FirstParagraph"/>
      </w:pPr>
      <w:r>
        <w:t xml:space="preserve">Точные количественные данные по углеродному следу служат фундаментом для разработки научно обоснованных стратегий декарбонизации. На их основе муниципальные власти могут верифицировать реальный климатический эффект от масштабного внедрения альтернативной энергетики [6], электрификации общественного транспорта или строительства автоматизированных мусоросортировочных комплексов [12].</w:t>
      </w:r>
    </w:p>
    <w:p>
      <w:r>
        <w:br w:type="page"/>
      </w:r>
    </w:p>
    <w:bookmarkEnd w:id="27"/>
    <w:bookmarkStart w:id="28" w:name="sec-9"/>
    <w:p>
      <w:pPr>
        <w:spacing w:line="360" w:lineRule="auto" w:after="40" w:afterAutospacing="0" w:beforeAutospacing="0"/>
        <w:pStyle w:val="Heading2"/>
      </w:pPr>
      <w:r>
        <w:t xml:space="preserve">8. Стратегии снижения выбросов парниковых газов</w:t>
      </w:r>
    </w:p>
    <w:p>
      <w:pPr>
        <w:pStyle w:val="FirstParagraph"/>
      </w:pPr>
      <w:r>
        <w:t xml:space="preserve">Переход от мониторинга и оценки углеродного следа к непосредственному внедрению стратегий снижения выбросов парниковых газов (ПГ) представляет собой стержневой этап экологической модернизации мегаполисов. Эффективная декарбонизация городской среды требует системного подхода, объединяющего технологические инновации, регуляторные меры и институциональные изменения [1]. Ключевые направления углеродно-нейтрального развития мегаполисов охватывают глубокую трансформацию энергетической, транспортной, строительной отраслей, а также оптимизацию систем обращения с твердыми коммунальными отходами.</w:t>
      </w:r>
    </w:p>
    <w:p>
      <w:pPr>
        <w:pStyle w:val="BodyText"/>
      </w:pPr>
      <w:r>
        <w:t xml:space="preserve">Одной из наиболее результативных стратегий является декарбонизация транспортного сектора. Она реализуется через форсированный переход от индивидуального автотранспорта с двигателями внутреннего сгорания к электрифицированным видам общественного и личного транспорта. Развитие сетей скоростного рельсового транспорта, электробусов, а также создание обширной инфраструктуры для микромобильности (велосипедных и самокатных дорожек) позволяют радикально сократить локальные выбросы. Важной сопутствующей мерой выступает создание зон с низким уровнем выбросов (Low Emission Zones), куда ограничивается въезд традиционного автотранспорта.</w:t>
      </w:r>
    </w:p>
    <w:p>
      <w:pPr>
        <w:pStyle w:val="BodyText"/>
      </w:pPr>
      <w:r>
        <w:t xml:space="preserve">Вторым фундаментальным вектором выступает повышение энергоэффективности зданий [10], поскольку гражданское и коммерческое строительство отвечает за значительную долю коммунального энергопотребления. Реализация стандартов «зеленого строительства» (таких как LEED или BREEAM), модернизация систем теплоснабжения, внедрение интеллектуальных систем управления энергопотреблением (Smart Grid) и тепловых насосов позволяют существенно уменьшить косвенные углеродные выбросы.</w:t>
      </w:r>
    </w:p>
    <w:p>
      <w:pPr>
        <w:pStyle w:val="BodyText"/>
      </w:pPr>
      <w:r>
        <w:t xml:space="preserve">Особое внимание уделяется переходу на принципы циркулярной экономики в управлении отходами. Сокращение объема захоронения органического мусора на полигонах снижает выделение биогенного метана, имеющего крайне высокий потенциал глобального потепления. Внедрение технологий улавливания и утилизации свалочного газа для выработки электроэнергии или тепла преобразует экологический риск в полезный ресурс.</w:t>
      </w:r>
    </w:p>
    <w:p>
      <w:pPr>
        <w:pStyle w:val="BodyText"/>
      </w:pPr>
      <w:r>
        <w:t xml:space="preserve">Для систематизации основных подходов целесообразно сопоставить ключевые стратегии снижения выбросов ПГ по ряду параметров:</w:t>
      </w:r>
    </w:p>
    <w:p>
      <w:pPr>
        <w:jc w:val="left"/>
        <w:ind w:firstLine="0"/>
        <w:spacing w:after="120"/>
      </w:pPr>
      <w:r>
        <w:rPr>
          <w:b/>
        </w:rPr>
        <w:t>Таблица 8 – Ключевые стратегии снижения выбросов парниковых газов в мегаполисах</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Направление стратегии</w:t>
            </w:r>
          </w:p>
        </w:tc>
        <w:tc>
          <w:tcPr>
            <w:vAlign w:val="center"/>
          </w:tcPr>
          <w:p>
            <w:pPr>
              <w:ind w:firstLine="0"/>
              <w:pStyle w:val="Compact"/>
              <w:jc w:val="center"/>
            </w:pPr>
            <w:r>
              <w:rPr>
                <w:b/>
                <w:bCs/>
                <w:sz w:val="24"/>
                <w:szCs w:val="24"/>
              </w:rPr>
              <w:t xml:space="preserve">Ключевые технологические решения</w:t>
            </w:r>
          </w:p>
        </w:tc>
        <w:tc>
          <w:tcPr>
            <w:vAlign w:val="center"/>
          </w:tcPr>
          <w:p>
            <w:pPr>
              <w:ind w:firstLine="0"/>
              <w:pStyle w:val="Compact"/>
              <w:jc w:val="center"/>
            </w:pPr>
            <w:r>
              <w:rPr>
                <w:b/>
                <w:bCs/>
                <w:sz w:val="24"/>
                <w:szCs w:val="24"/>
              </w:rPr>
              <w:t xml:space="preserve">Потенциал сокращения ПГ</w:t>
            </w:r>
          </w:p>
        </w:tc>
        <w:tc>
          <w:tcPr>
            <w:vAlign w:val="center"/>
          </w:tcPr>
          <w:p>
            <w:pPr>
              <w:ind w:firstLine="0"/>
              <w:pStyle w:val="Compact"/>
              <w:jc w:val="center"/>
            </w:pPr>
            <w:r>
              <w:rPr>
                <w:b/>
                <w:bCs/>
                <w:sz w:val="24"/>
                <w:szCs w:val="24"/>
              </w:rPr>
              <w:t xml:space="preserve">Экономическая окупаемость</w:t>
            </w:r>
          </w:p>
        </w:tc>
      </w:tr>
      <w:tr>
        <w:tc>
          <w:tcPr>
            <w:vAlign w:val="center"/>
          </w:tcPr>
          <w:p>
            <w:pPr>
              <w:ind w:firstLine="0"/>
              <w:pStyle w:val="Compact"/>
              <w:jc w:val="center"/>
            </w:pPr>
            <w:r>
              <w:rPr>
                <w:sz w:val="24"/>
                <w:szCs w:val="24"/>
              </w:rPr>
              <w:t xml:space="preserve">Зеленый транспорт</w:t>
            </w:r>
          </w:p>
        </w:tc>
        <w:tc>
          <w:tcPr>
            <w:vAlign w:val="center"/>
          </w:tcPr>
          <w:p>
            <w:pPr>
              <w:ind w:firstLine="0"/>
              <w:pStyle w:val="Compact"/>
              <w:jc w:val="center"/>
            </w:pPr>
            <w:r>
              <w:rPr>
                <w:sz w:val="24"/>
                <w:szCs w:val="24"/>
              </w:rPr>
              <w:t xml:space="preserve">Электробусы, зарядная сеть, LEZ</w:t>
            </w:r>
          </w:p>
        </w:tc>
        <w:tc>
          <w:tcPr>
            <w:vAlign w:val="center"/>
          </w:tcPr>
          <w:p>
            <w:pPr>
              <w:ind w:firstLine="0"/>
              <w:pStyle w:val="Compact"/>
              <w:jc w:val="center"/>
            </w:pPr>
            <w:r>
              <w:rPr>
                <w:sz w:val="24"/>
                <w:szCs w:val="24"/>
              </w:rPr>
              <w:t xml:space="preserve">Высокий</w:t>
            </w:r>
          </w:p>
        </w:tc>
        <w:tc>
          <w:tcPr>
            <w:vAlign w:val="center"/>
          </w:tcPr>
          <w:p>
            <w:pPr>
              <w:ind w:firstLine="0"/>
              <w:pStyle w:val="Compact"/>
              <w:jc w:val="center"/>
            </w:pPr>
            <w:r>
              <w:rPr>
                <w:sz w:val="24"/>
                <w:szCs w:val="24"/>
              </w:rPr>
              <w:t xml:space="preserve">Среднесрочная (5-10 лет)</w:t>
            </w:r>
          </w:p>
        </w:tc>
      </w:tr>
      <w:tr>
        <w:tc>
          <w:tcPr>
            <w:vAlign w:val="center"/>
          </w:tcPr>
          <w:p>
            <w:pPr>
              <w:ind w:firstLine="0"/>
              <w:pStyle w:val="Compact"/>
              <w:jc w:val="center"/>
            </w:pPr>
            <w:r>
              <w:rPr>
                <w:sz w:val="24"/>
                <w:szCs w:val="24"/>
              </w:rPr>
              <w:t xml:space="preserve">Энергоэффективные здания</w:t>
            </w:r>
          </w:p>
        </w:tc>
        <w:tc>
          <w:tcPr>
            <w:vAlign w:val="center"/>
          </w:tcPr>
          <w:p>
            <w:pPr>
              <w:ind w:firstLine="0"/>
              <w:pStyle w:val="Compact"/>
              <w:jc w:val="center"/>
            </w:pPr>
            <w:r>
              <w:rPr>
                <w:sz w:val="24"/>
                <w:szCs w:val="24"/>
              </w:rPr>
              <w:t xml:space="preserve">Термомодернизация фасадов, умный учет</w:t>
            </w:r>
          </w:p>
        </w:tc>
        <w:tc>
          <w:tcPr>
            <w:vAlign w:val="center"/>
          </w:tcPr>
          <w:p>
            <w:pPr>
              <w:ind w:firstLine="0"/>
              <w:pStyle w:val="Compact"/>
              <w:jc w:val="center"/>
            </w:pPr>
            <w:r>
              <w:rPr>
                <w:sz w:val="24"/>
                <w:szCs w:val="24"/>
              </w:rPr>
              <w:t xml:space="preserve">Высокий</w:t>
            </w:r>
          </w:p>
        </w:tc>
        <w:tc>
          <w:tcPr>
            <w:vAlign w:val="center"/>
          </w:tcPr>
          <w:p>
            <w:pPr>
              <w:ind w:firstLine="0"/>
              <w:pStyle w:val="Compact"/>
              <w:jc w:val="center"/>
            </w:pPr>
            <w:r>
              <w:rPr>
                <w:sz w:val="24"/>
                <w:szCs w:val="24"/>
              </w:rPr>
              <w:t xml:space="preserve">Долгосрочная (10-15 лет)</w:t>
            </w:r>
          </w:p>
        </w:tc>
      </w:tr>
      <w:tr>
        <w:tc>
          <w:tcPr>
            <w:vAlign w:val="center"/>
          </w:tcPr>
          <w:p>
            <w:pPr>
              <w:ind w:firstLine="0"/>
              <w:pStyle w:val="Compact"/>
              <w:jc w:val="center"/>
            </w:pPr>
            <w:r>
              <w:rPr>
                <w:sz w:val="24"/>
                <w:szCs w:val="24"/>
              </w:rPr>
              <w:t xml:space="preserve">Возобновляемая генерация</w:t>
            </w:r>
          </w:p>
        </w:tc>
        <w:tc>
          <w:tcPr>
            <w:vAlign w:val="center"/>
          </w:tcPr>
          <w:p>
            <w:pPr>
              <w:ind w:firstLine="0"/>
              <w:pStyle w:val="Compact"/>
              <w:jc w:val="center"/>
            </w:pPr>
            <w:r>
              <w:rPr>
                <w:sz w:val="24"/>
                <w:szCs w:val="24"/>
              </w:rPr>
              <w:t xml:space="preserve">Солнечные панели на крышах, микро-ВЭС</w:t>
            </w:r>
          </w:p>
        </w:tc>
        <w:tc>
          <w:tcPr>
            <w:vAlign w:val="center"/>
          </w:tcPr>
          <w:p>
            <w:pPr>
              <w:ind w:firstLine="0"/>
              <w:pStyle w:val="Compact"/>
              <w:jc w:val="center"/>
            </w:pPr>
            <w:r>
              <w:rPr>
                <w:sz w:val="24"/>
                <w:szCs w:val="24"/>
              </w:rPr>
              <w:t xml:space="preserve">Средний</w:t>
            </w:r>
          </w:p>
        </w:tc>
        <w:tc>
          <w:tcPr>
            <w:vAlign w:val="center"/>
          </w:tcPr>
          <w:p>
            <w:pPr>
              <w:ind w:firstLine="0"/>
              <w:pStyle w:val="Compact"/>
              <w:jc w:val="center"/>
            </w:pPr>
            <w:r>
              <w:rPr>
                <w:sz w:val="24"/>
                <w:szCs w:val="24"/>
              </w:rPr>
              <w:t xml:space="preserve">Среднесрочная (7-12 лет)</w:t>
            </w:r>
          </w:p>
        </w:tc>
      </w:tr>
      <w:tr>
        <w:tc>
          <w:tcPr>
            <w:vAlign w:val="center"/>
          </w:tcPr>
          <w:p>
            <w:pPr>
              <w:ind w:firstLine="0"/>
              <w:pStyle w:val="Compact"/>
              <w:jc w:val="center"/>
            </w:pPr>
            <w:r>
              <w:rPr>
                <w:sz w:val="24"/>
                <w:szCs w:val="24"/>
              </w:rPr>
              <w:t xml:space="preserve">Управление отходами</w:t>
            </w:r>
          </w:p>
        </w:tc>
        <w:tc>
          <w:tcPr>
            <w:vAlign w:val="center"/>
          </w:tcPr>
          <w:p>
            <w:pPr>
              <w:ind w:firstLine="0"/>
              <w:pStyle w:val="Compact"/>
              <w:jc w:val="center"/>
            </w:pPr>
            <w:r>
              <w:rPr>
                <w:sz w:val="24"/>
                <w:szCs w:val="24"/>
              </w:rPr>
              <w:t xml:space="preserve">Улавливание метана, биогазовые станции</w:t>
            </w:r>
          </w:p>
        </w:tc>
        <w:tc>
          <w:tcPr>
            <w:vAlign w:val="center"/>
          </w:tcPr>
          <w:p>
            <w:pPr>
              <w:ind w:firstLine="0"/>
              <w:pStyle w:val="Compact"/>
              <w:jc w:val="center"/>
            </w:pPr>
            <w:r>
              <w:rPr>
                <w:sz w:val="24"/>
                <w:szCs w:val="24"/>
              </w:rPr>
              <w:t xml:space="preserve">Высокий</w:t>
            </w:r>
          </w:p>
        </w:tc>
        <w:tc>
          <w:tcPr>
            <w:vAlign w:val="center"/>
          </w:tcPr>
          <w:p>
            <w:pPr>
              <w:ind w:firstLine="0"/>
              <w:pStyle w:val="Compact"/>
              <w:jc w:val="center"/>
            </w:pPr>
            <w:r>
              <w:rPr>
                <w:sz w:val="24"/>
                <w:szCs w:val="24"/>
              </w:rPr>
              <w:t xml:space="preserve">Быстрая (3-5 лет)</w:t>
            </w:r>
          </w:p>
        </w:tc>
      </w:tr>
      <w:tr>
        <w:tc>
          <w:tcPr>
            <w:vAlign w:val="center"/>
          </w:tcPr>
          <w:p>
            <w:pPr>
              <w:ind w:firstLine="0"/>
              <w:pStyle w:val="Compact"/>
              <w:jc w:val="center"/>
            </w:pPr>
            <w:r>
              <w:rPr>
                <w:sz w:val="24"/>
                <w:szCs w:val="24"/>
              </w:rPr>
              <w:t xml:space="preserve">Городское озеленение</w:t>
            </w:r>
          </w:p>
        </w:tc>
        <w:tc>
          <w:tcPr>
            <w:vAlign w:val="center"/>
          </w:tcPr>
          <w:p>
            <w:pPr>
              <w:ind w:firstLine="0"/>
              <w:pStyle w:val="Compact"/>
              <w:jc w:val="center"/>
            </w:pPr>
            <w:r>
              <w:rPr>
                <w:sz w:val="24"/>
                <w:szCs w:val="24"/>
              </w:rPr>
              <w:t xml:space="preserve">Вертикальное озеленение, лесопарковые зоны</w:t>
            </w:r>
          </w:p>
        </w:tc>
        <w:tc>
          <w:tcPr>
            <w:vAlign w:val="center"/>
          </w:tcPr>
          <w:p>
            <w:pPr>
              <w:ind w:firstLine="0"/>
              <w:pStyle w:val="Compact"/>
              <w:jc w:val="center"/>
            </w:pPr>
            <w:r>
              <w:rPr>
                <w:sz w:val="24"/>
                <w:szCs w:val="24"/>
              </w:rPr>
              <w:t xml:space="preserve">Низкий</w:t>
            </w:r>
          </w:p>
        </w:tc>
        <w:tc>
          <w:tcPr>
            <w:vAlign w:val="center"/>
          </w:tcPr>
          <w:p>
            <w:pPr>
              <w:ind w:firstLine="0"/>
              <w:pStyle w:val="Compact"/>
              <w:jc w:val="center"/>
            </w:pPr>
            <w:r>
              <w:rPr>
                <w:sz w:val="24"/>
                <w:szCs w:val="24"/>
              </w:rPr>
              <w:t xml:space="preserve">Косвенная (экосистемные услуги)</w:t>
            </w:r>
          </w:p>
        </w:tc>
      </w:tr>
    </w:tbl>
    <w:p>
      <w:pPr>
        <w:pStyle w:val="BodyText"/>
      </w:pPr>
      <w:r>
        <w:t xml:space="preserve">Интеграция природы в городскую ткань в виде зеленых крыш, стен и парковых зон выступает важнейшим элементом компенсационных стратегий (Nature-based Solutions) [6]. Несмотря на относительно невысокий прямой потенциал связывания углерода по сравнению с масштабами городских выбросов, такие решения значительно ослабляют эффект «городского острова тепла», снижая потребность в кондиционировании воздуха и улучшая общий микроклимат. Таким образом, только синергетический эффект от скоординированного внедрения данных стратегий способен обеспечить устойчивое движение мегаполиса к углеродной нейтральности.</w:t>
      </w:r>
    </w:p>
    <w:p>
      <w:r>
        <w:br w:type="page"/>
      </w:r>
    </w:p>
    <w:bookmarkEnd w:id="28"/>
    <w:bookmarkStart w:id="29" w:name="sec-10"/>
    <w:p>
      <w:pPr>
        <w:spacing w:line="360" w:lineRule="auto" w:after="40" w:afterAutospacing="0" w:beforeAutospacing="0"/>
        <w:pStyle w:val="Heading2"/>
      </w:pPr>
      <w:r>
        <w:t xml:space="preserve">9. Опыт экологически чистых городов мира</w:t>
      </w:r>
    </w:p>
    <w:p>
      <w:pPr>
        <w:pStyle w:val="FirstParagraph"/>
      </w:pPr>
      <w:r>
        <w:t xml:space="preserve">Изучение передового мирового опыта показывает, что комплексный переход крупных урбанизированных территорий на рельсы устойчивого развития [10] возможен только при синхронизированной модернизации энергетических сетей и коммунального хозяйства. Ряд ведущих мегаполисов мира уже продемонстрировал практическую реализуемость концепции углеродной нейтральности и циркулярной экономики. Анализ их успехов позволяет выделить наиболее эффективные модели управления городскими экосистемами.</w:t>
      </w:r>
    </w:p>
    <w:p>
      <w:pPr>
        <w:pStyle w:val="BodyText"/>
      </w:pPr>
      <w:r>
        <w:t xml:space="preserve">Копенгаген признан одним из лидеров в области глобальной декарбонизации. Столица Дании разработала амбициозный климатический план, направленный на достижение полной углеродной нейтральности. Ключевым элементом городской стратегии стало масштабное использование ветроэнергетики и глубокая интеграция биотермальной генерации в систему централизованного теплоснабжения [22]. Особенного внимания заслуживает многофункциональный комплекс Amager Bakke (Copenhill) — высокотехнологичный завод по термической утилизации отходов, превращающий мусор в тепло и электроэнергию, крыша которого оборудована общедоступным горнолыжным склоном. Данный проект доказывает возможность гармоничного соседства промышленной экологической инфраструктуры с общественными пространствами.</w:t>
      </w:r>
    </w:p>
    <w:p>
      <w:pPr>
        <w:pStyle w:val="BodyText"/>
      </w:pPr>
      <w:r>
        <w:t xml:space="preserve">Опыт Сан-Франциско демонстрирует выдающиеся результаты в сфере минимизации накопления твердых коммунальных отходов. Город стал первопроходцем глобальной инициативы Zero Waste («Ноль отходов»). За счет жесткого законодательного регулирования, обязательного разделения органики для ее последующего компостирования, а также запрета на использование некоторых видов одноразового пластика, Сан-Франциско удалось добиться перенаправления более 80% всех образующихся отходов на вторичную переработку, минуя полигоны [16].</w:t>
      </w:r>
    </w:p>
    <w:p>
      <w:pPr>
        <w:pStyle w:val="BodyText"/>
      </w:pPr>
      <w:r>
        <w:t xml:space="preserve">Специфика Сингапура характеризуется экстремальным дефицитом земельных ресурсов, что заставило государство разработать уникальную закрытую систему утилизации. В мегаполисе функционируют передовые заводы по сжиганию мусора с минимальным уровнем выбросов парниковых газов, а образующаяся зола вывозится на искусственный остров-полигон Семакау. Кроме того, Сингапур активно развивает фотоэлектрическую генерацию на фасадах зданий и водоемах [24], компенсируя нехватку площадей для традиционных солнечных электростанций.</w:t>
      </w:r>
    </w:p>
    <w:p>
      <w:pPr>
        <w:pStyle w:val="BodyText"/>
      </w:pPr>
      <w:r>
        <w:t xml:space="preserve">Основные характеристики и ключевые достижения передовых экологических центров мира систематизированы в следующей таблице:</w:t>
      </w:r>
    </w:p>
    <w:p>
      <w:pPr>
        <w:jc w:val="left"/>
        <w:ind w:firstLine="0"/>
        <w:spacing w:after="120"/>
      </w:pPr>
      <w:r>
        <w:rPr>
          <w:b/>
        </w:rPr>
        <w:t>Таблица 9 – Основные характеристики и достижения передовых экологических центров мира</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584"/>
        <w:gridCol w:w="1584"/>
        <w:gridCol w:w="1584"/>
        <w:gridCol w:w="1584"/>
        <w:gridCol w:w="1584"/>
      </w:tblGrid>
      <w:tr>
        <w:trPr>
          <w:tblHeader w:val="true"/>
        </w:trPr>
        <w:tc>
          <w:tcPr>
            <w:vAlign w:val="center"/>
          </w:tcPr>
          <w:p>
            <w:pPr>
              <w:ind w:firstLine="0"/>
              <w:pStyle w:val="Compact"/>
              <w:jc w:val="center"/>
            </w:pPr>
            <w:r>
              <w:rPr>
                <w:b/>
                <w:bCs/>
                <w:sz w:val="24"/>
                <w:szCs w:val="24"/>
              </w:rPr>
              <w:t xml:space="preserve">Город</w:t>
            </w:r>
          </w:p>
        </w:tc>
        <w:tc>
          <w:tcPr>
            <w:vAlign w:val="center"/>
          </w:tcPr>
          <w:p>
            <w:pPr>
              <w:ind w:firstLine="0"/>
              <w:pStyle w:val="Compact"/>
              <w:jc w:val="center"/>
            </w:pPr>
            <w:r>
              <w:rPr>
                <w:b/>
                <w:bCs/>
                <w:sz w:val="24"/>
                <w:szCs w:val="24"/>
              </w:rPr>
              <w:t xml:space="preserve">Ключевая экологическая цель</w:t>
            </w:r>
          </w:p>
        </w:tc>
        <w:tc>
          <w:tcPr>
            <w:vAlign w:val="center"/>
          </w:tcPr>
          <w:p>
            <w:pPr>
              <w:ind w:firstLine="0"/>
              <w:pStyle w:val="Compact"/>
              <w:jc w:val="center"/>
            </w:pPr>
            <w:r>
              <w:rPr>
                <w:b/>
                <w:bCs/>
                <w:sz w:val="24"/>
                <w:szCs w:val="24"/>
              </w:rPr>
              <w:t xml:space="preserve">Решения в энергетике</w:t>
            </w:r>
          </w:p>
        </w:tc>
        <w:tc>
          <w:tcPr>
            <w:vAlign w:val="center"/>
          </w:tcPr>
          <w:p>
            <w:pPr>
              <w:ind w:firstLine="0"/>
              <w:pStyle w:val="Compact"/>
              <w:jc w:val="center"/>
            </w:pPr>
            <w:r>
              <w:rPr>
                <w:b/>
                <w:bCs/>
                <w:sz w:val="24"/>
                <w:szCs w:val="24"/>
              </w:rPr>
              <w:t xml:space="preserve">Подход к отходам</w:t>
            </w:r>
          </w:p>
        </w:tc>
        <w:tc>
          <w:tcPr>
            <w:vAlign w:val="center"/>
          </w:tcPr>
          <w:p>
            <w:pPr>
              <w:ind w:firstLine="0"/>
              <w:pStyle w:val="Compact"/>
              <w:jc w:val="center"/>
            </w:pPr>
            <w:r>
              <w:rPr>
                <w:b/>
                <w:bCs/>
                <w:sz w:val="24"/>
                <w:szCs w:val="24"/>
              </w:rPr>
              <w:t xml:space="preserve">Результат декарбонизации</w:t>
            </w:r>
          </w:p>
        </w:tc>
      </w:tr>
      <w:tr>
        <w:tc>
          <w:tcPr>
            <w:vAlign w:val="center"/>
          </w:tcPr>
          <w:p>
            <w:pPr>
              <w:ind w:firstLine="0"/>
              <w:pStyle w:val="Compact"/>
              <w:jc w:val="center"/>
            </w:pPr>
            <w:r>
              <w:rPr>
                <w:sz w:val="24"/>
                <w:szCs w:val="24"/>
              </w:rPr>
              <w:t xml:space="preserve">Копенгаген</w:t>
            </w:r>
          </w:p>
        </w:tc>
        <w:tc>
          <w:tcPr>
            <w:vAlign w:val="center"/>
          </w:tcPr>
          <w:p>
            <w:pPr>
              <w:ind w:firstLine="0"/>
              <w:pStyle w:val="Compact"/>
              <w:jc w:val="center"/>
            </w:pPr>
            <w:r>
              <w:rPr>
                <w:sz w:val="24"/>
                <w:szCs w:val="24"/>
              </w:rPr>
              <w:t xml:space="preserve">Углеродная нейтральность</w:t>
            </w:r>
          </w:p>
        </w:tc>
        <w:tc>
          <w:tcPr>
            <w:vAlign w:val="center"/>
          </w:tcPr>
          <w:p>
            <w:pPr>
              <w:ind w:firstLine="0"/>
              <w:pStyle w:val="Compact"/>
              <w:jc w:val="center"/>
            </w:pPr>
            <w:r>
              <w:rPr>
                <w:sz w:val="24"/>
                <w:szCs w:val="24"/>
              </w:rPr>
              <w:t xml:space="preserve">Офшорная ветроэнергетика, биомасса</w:t>
            </w:r>
          </w:p>
        </w:tc>
        <w:tc>
          <w:tcPr>
            <w:vAlign w:val="center"/>
          </w:tcPr>
          <w:p>
            <w:pPr>
              <w:ind w:firstLine="0"/>
              <w:pStyle w:val="Compact"/>
              <w:jc w:val="center"/>
            </w:pPr>
            <w:r>
              <w:rPr>
                <w:sz w:val="24"/>
                <w:szCs w:val="24"/>
              </w:rPr>
              <w:t xml:space="preserve">Термическая утилизация (Amager Bakke)</w:t>
            </w:r>
          </w:p>
        </w:tc>
        <w:tc>
          <w:tcPr>
            <w:vAlign w:val="center"/>
          </w:tcPr>
          <w:p>
            <w:pPr>
              <w:ind w:firstLine="0"/>
              <w:pStyle w:val="Compact"/>
              <w:jc w:val="center"/>
            </w:pPr>
            <w:r>
              <w:rPr>
                <w:sz w:val="24"/>
                <w:szCs w:val="24"/>
              </w:rPr>
              <w:t xml:space="preserve">Снижение выбросов CO2 на 80% от уровня 1990 г.</w:t>
            </w:r>
          </w:p>
        </w:tc>
      </w:tr>
      <w:tr>
        <w:tc>
          <w:tcPr>
            <w:vAlign w:val="center"/>
          </w:tcPr>
          <w:p>
            <w:pPr>
              <w:ind w:firstLine="0"/>
              <w:pStyle w:val="Compact"/>
              <w:jc w:val="center"/>
            </w:pPr>
            <w:r>
              <w:rPr>
                <w:sz w:val="24"/>
                <w:szCs w:val="24"/>
              </w:rPr>
              <w:t xml:space="preserve">Сан-Франциско</w:t>
            </w:r>
          </w:p>
        </w:tc>
        <w:tc>
          <w:tcPr>
            <w:vAlign w:val="center"/>
          </w:tcPr>
          <w:p>
            <w:pPr>
              <w:ind w:firstLine="0"/>
              <w:pStyle w:val="Compact"/>
              <w:jc w:val="center"/>
            </w:pPr>
            <w:r>
              <w:rPr>
                <w:sz w:val="24"/>
                <w:szCs w:val="24"/>
              </w:rPr>
              <w:t xml:space="preserve">Реализация концепции Zero Waste</w:t>
            </w:r>
          </w:p>
        </w:tc>
        <w:tc>
          <w:tcPr>
            <w:vAlign w:val="center"/>
          </w:tcPr>
          <w:p>
            <w:pPr>
              <w:ind w:firstLine="0"/>
              <w:pStyle w:val="Compact"/>
              <w:jc w:val="center"/>
            </w:pPr>
            <w:r>
              <w:rPr>
                <w:sz w:val="24"/>
                <w:szCs w:val="24"/>
              </w:rPr>
              <w:t xml:space="preserve">Солнечная генерация, энергосбережение</w:t>
            </w:r>
          </w:p>
        </w:tc>
        <w:tc>
          <w:tcPr>
            <w:vAlign w:val="center"/>
          </w:tcPr>
          <w:p>
            <w:pPr>
              <w:ind w:firstLine="0"/>
              <w:pStyle w:val="Compact"/>
              <w:jc w:val="center"/>
            </w:pPr>
            <w:r>
              <w:rPr>
                <w:sz w:val="24"/>
                <w:szCs w:val="24"/>
              </w:rPr>
              <w:t xml:space="preserve">Обязательное компостирование и сортировка</w:t>
            </w:r>
          </w:p>
        </w:tc>
        <w:tc>
          <w:tcPr>
            <w:vAlign w:val="center"/>
          </w:tcPr>
          <w:p>
            <w:pPr>
              <w:ind w:firstLine="0"/>
              <w:pStyle w:val="Compact"/>
              <w:jc w:val="center"/>
            </w:pPr>
            <w:r>
              <w:rPr>
                <w:sz w:val="24"/>
                <w:szCs w:val="24"/>
              </w:rPr>
              <w:t xml:space="preserve">Свыше 80% отходов возвращаются во вторичный оборот</w:t>
            </w:r>
          </w:p>
        </w:tc>
      </w:tr>
      <w:tr>
        <w:tc>
          <w:tcPr>
            <w:vAlign w:val="center"/>
          </w:tcPr>
          <w:p>
            <w:pPr>
              <w:ind w:firstLine="0"/>
              <w:pStyle w:val="Compact"/>
              <w:jc w:val="center"/>
            </w:pPr>
            <w:r>
              <w:rPr>
                <w:sz w:val="24"/>
                <w:szCs w:val="24"/>
              </w:rPr>
              <w:t xml:space="preserve">Сингапур</w:t>
            </w:r>
          </w:p>
        </w:tc>
        <w:tc>
          <w:tcPr>
            <w:vAlign w:val="center"/>
          </w:tcPr>
          <w:p>
            <w:pPr>
              <w:ind w:firstLine="0"/>
              <w:pStyle w:val="Compact"/>
              <w:jc w:val="center"/>
            </w:pPr>
            <w:r>
              <w:rPr>
                <w:sz w:val="24"/>
                <w:szCs w:val="24"/>
              </w:rPr>
              <w:t xml:space="preserve">Минимизация захоронения отходов</w:t>
            </w:r>
          </w:p>
        </w:tc>
        <w:tc>
          <w:tcPr>
            <w:vAlign w:val="center"/>
          </w:tcPr>
          <w:p>
            <w:pPr>
              <w:ind w:firstLine="0"/>
              <w:pStyle w:val="Compact"/>
              <w:jc w:val="center"/>
            </w:pPr>
            <w:r>
              <w:rPr>
                <w:sz w:val="24"/>
                <w:szCs w:val="24"/>
              </w:rPr>
              <w:t xml:space="preserve">Фасадные и плавучие солнечные панели</w:t>
            </w:r>
          </w:p>
        </w:tc>
        <w:tc>
          <w:tcPr>
            <w:vAlign w:val="center"/>
          </w:tcPr>
          <w:p>
            <w:pPr>
              <w:ind w:firstLine="0"/>
              <w:pStyle w:val="Compact"/>
              <w:jc w:val="center"/>
            </w:pPr>
            <w:r>
              <w:rPr>
                <w:sz w:val="24"/>
                <w:szCs w:val="24"/>
              </w:rPr>
              <w:t xml:space="preserve">Безопасное сжигание, эко-полигон Семакау</w:t>
            </w:r>
          </w:p>
        </w:tc>
        <w:tc>
          <w:tcPr>
            <w:vAlign w:val="center"/>
          </w:tcPr>
          <w:p>
            <w:pPr>
              <w:ind w:firstLine="0"/>
              <w:pStyle w:val="Compact"/>
              <w:jc w:val="center"/>
            </w:pPr>
            <w:r>
              <w:rPr>
                <w:sz w:val="24"/>
                <w:szCs w:val="24"/>
              </w:rPr>
              <w:t xml:space="preserve">Предотвращение деградации почв, сокращение выбросов</w:t>
            </w:r>
          </w:p>
        </w:tc>
      </w:tr>
    </w:tbl>
    <w:p>
      <w:pPr>
        <w:pStyle w:val="BodyText"/>
      </w:pPr>
      <w:r>
        <w:t xml:space="preserve">Анализ данных примеров показывает, что успех экологической трансформации базируется на сочетании жесткого муниципального регулирования, активного вовлечения населения в процессы сортировки и переработки отходов, а также интеграции наукоемких технологических решений в повседневную городскую жизнь.</w:t>
      </w:r>
    </w:p>
    <w:p>
      <w:r>
        <w:br w:type="page"/>
      </w:r>
    </w:p>
    <w:bookmarkEnd w:id="29"/>
    <w:bookmarkEnd w:id="30"/>
    <w:bookmarkStart w:id="31" w:name="sec-11"/>
    <w:p>
      <w:pPr>
        <w:spacing w:line="360" w:lineRule="auto" w:after="50" w:afterAutospacing="0" w:beforeAutospacing="0"/>
        <w:pStyle w:val="Heading1"/>
      </w:pPr>
      <w:r>
        <w:t xml:space="preserve">ЗАКЛЮЧЕНИЕ</w:t>
      </w:r>
    </w:p>
    <w:p>
      <w:pPr>
        <w:pStyle w:val="FirstParagraph"/>
      </w:pPr>
      <w:r>
        <w:t xml:space="preserve">Подводя итоги проведенного комплексного исследования, можно сделать обоснованный вывод, что экологизация современных мегаполисов представляет собой одну из наиболее масштабных, критически важных и многоаспектных задач двадцать первого века. Быстрые темпы глобальной урбанизации неизбежно обостряют накопленные проблемы исчерпаемости природных ресурсов, лавинообразного роста объемов муниципальных отходов и деградации городской экосистемы под совокупным воздействием выбросов парниковых газов. В сложившихся реалиях традиционная линейная модель функционирования городского хозяйства изживает себя, требуя безальтернативного перехода к комплексной концепции циркулярной экономики, в которой каждый технологический цикл гармонично интегрирован в общую систему жизнеобеспечения мегаполиса.</w:t>
      </w:r>
    </w:p>
    <w:p>
      <w:pPr>
        <w:pStyle w:val="BodyText"/>
      </w:pPr>
      <w:r>
        <w:t xml:space="preserve">Проведенный анализ возобновляемых источников энергии наглядно продемонстрировал, что интеграция распределенной альтернативной генерации в общую энергосистему крупного города — это не просто дополнительное направление развития, а ключевое системное условие его успешной декарбонизации. Использование потенциала солнечной, ветровой и геотермальной энергии, подкрепленное современными системами интеллектуального управления нагрузками (Smart Grid) и эффективными накопителями энергии большой емкости, способно кардинальным образом снизить традиционную зависимость городов от углеводородного ископаемого топлива и сгладить пики энергопотребления.</w:t>
      </w:r>
    </w:p>
    <w:p>
      <w:pPr>
        <w:pStyle w:val="BodyText"/>
      </w:pPr>
      <w:r>
        <w:t xml:space="preserve">В сфере управления потоками коммунальных отходов центральным и непреложным элементом экологической модернизации становится минимизация их прямого захоронения на полигонах. Как было подробно обосновано в рамках данного исследования, планомерный переход к концепции нулевого уровня загрязнения (Zero Waste) абсолютно невозможен без внедрения прозрачных систем раздельного сбора и высокоэффективной механизированной сортировки непосредственно в местах образования отходов. Использование передовых технологий глубокой химической, термической и биологической утилизации позволяет возвращать ценнейшие фракции вторичного сырья обратно в промышленный оборот, параллельно решая задачу генерации чистой тепловой и электрической энергии из неперерабатываемых органических остатков.</w:t>
      </w:r>
    </w:p>
    <w:p>
      <w:pPr>
        <w:pStyle w:val="BodyText"/>
      </w:pPr>
      <w:r>
        <w:t xml:space="preserve">В свою очередь, регулярная количественная оценка и детальный мониторинг углеродного следа городской инфраструктуры создают необходимый методологический базис для разработки долгосрочных стратегий снижения выбросов. Без глубокого понимания специфики прямых и косвенных эмиссий парниковых газов на всех этапах функционирования городского хозяйства невозможно построить эффективную и жизнеспособную систему климатического менеджмента. Такой всесторонний аналитический подход позволяет администрациям мегаполисов точечно воздействовать на наиболее критические секторы, включая транспортную систему и коммунально-бытовое хозяйство.</w:t>
      </w:r>
    </w:p>
    <w:p>
      <w:pPr>
        <w:pStyle w:val="BodyText"/>
      </w:pPr>
      <w:r>
        <w:t xml:space="preserve">В заключение важно подчеркнуть, что успешное создание устойчивого, комфортного и экологически безопасного мегаполиса будущего требует тотальной консолидации совместных усилий органов муниципального управления, представителей бизнеса и институтов гражданского общества. Системная интеграция зеленой энергетики, внедрение циркулярных принципов обращения с отходами и последовательное снижение углеродного следа должны осуществляться синхронно, в рамках единой долгосрочной стратегии городского развития. Только подобный синергетический подход, подкрепленный цифровизацией процессов управления и развитием экологической культуры населения, позволит мегаполисам превратиться из центров глобального экологического прессинга в локомотивы устойчивого развития планеты.</w:t>
      </w:r>
    </w:p>
    <w:p>
      <w:r>
        <w:br w:type="page"/>
      </w:r>
    </w:p>
    <w:bookmarkEnd w:id="31"/>
    <w:bookmarkStart w:id="32" w:name="bibliography"/>
    <w:p>
      <w:pPr>
        <w:spacing w:line="360" w:lineRule="auto" w:after="50" w:afterAutospacing="0" w:beforeAutospacing="0"/>
        <w:pStyle w:val="Heading1"/>
      </w:pPr>
      <w:r>
        <w:t xml:space="preserve">СПИСОК ИСПОЛЬЗОВАННЫХ ИСТОЧНИКОВ</w:t>
      </w:r>
    </w:p>
    <w:p>
      <w:pPr>
        <w:numPr>
          <w:ilvl w:val="0"/>
          <w:numId w:val="1003"/>
        </w:numPr>
        <w:pStyle w:val="Compact"/>
      </w:pPr>
      <w:r>
        <w:t xml:space="preserve">Технологии умных городов для декарбонизации мегаполисов // gcip.kz [сайт]. URL: https://gcip.kz/zelenye-texnologii/umnye-goroda-kak-texnologii-snizhayut-uglerodnyj-sled-megapolisov/ (дата обращения: 06.09.2026).</w:t>
      </w:r>
    </w:p>
    <w:p>
      <w:pPr>
        <w:numPr>
          <w:ilvl w:val="0"/>
          <w:numId w:val="1003"/>
        </w:numPr>
        <w:pStyle w:val="Compact"/>
      </w:pPr>
      <w:r>
        <w:t xml:space="preserve">ВЭС и СЭС могут быть не экологичнее газа: новое исследование… // www.kommersant.ru [сайт]. URL: https://www.kommersant.ru/doc/8292985 (дата обращения: 06.09.2026).</w:t>
      </w:r>
    </w:p>
    <w:p>
      <w:pPr>
        <w:numPr>
          <w:ilvl w:val="0"/>
          <w:numId w:val="1003"/>
        </w:numPr>
        <w:pStyle w:val="Compact"/>
      </w:pPr>
      <w:r>
        <w:t xml:space="preserve">Рекорды России в возобновляемой энергетике: будущее без углеродного следа | Реестр рекордов России // reestrrekordov.ru [сайт]. URL: https://reestrrekordov.ru/rekordy-rossii-v-vozobnovljaemoj-jenergetike-budushhee-bez-uglerodnogo-sleda/ (дата обращения: 06.09.2026).</w:t>
      </w:r>
    </w:p>
    <w:p>
      <w:pPr>
        <w:numPr>
          <w:ilvl w:val="0"/>
          <w:numId w:val="1003"/>
        </w:numPr>
        <w:pStyle w:val="Compact"/>
      </w:pPr>
      <w:r>
        <w:t xml:space="preserve">Переходите на зеленую электроэнергию, снижайте углеродный след | Форвард Энерго // frwd.energy [сайт]. URL: https://frwd.energy/postavki-zelenoy-energii (дата обращения: 06.09.2026).</w:t>
      </w:r>
    </w:p>
    <w:p>
      <w:pPr>
        <w:numPr>
          <w:ilvl w:val="0"/>
          <w:numId w:val="1003"/>
        </w:numPr>
        <w:pStyle w:val="Compact"/>
      </w:pPr>
      <w:r>
        <w:t xml:space="preserve">От Москвы до Сахалина: какие проекты двигают Россию к углеродной нейтральности // rbc-mem.linestest.com [сайт]. URL: https://rbc-mem.linestest.com/article-75.html (дата обращения: 06.09.2026).</w:t>
      </w:r>
    </w:p>
    <w:p>
      <w:pPr>
        <w:numPr>
          <w:ilvl w:val="0"/>
          <w:numId w:val="1003"/>
        </w:numPr>
        <w:pStyle w:val="Compact"/>
      </w:pPr>
      <w:r>
        <w:t xml:space="preserve">Киселев К.В. ЭФФЕКТИВНОСТЬ ИСПОЛЬЗОВАНИЯ ВОЗОБНОВЛЯЕМЫХ ИСТОЧНИКОВ ЭНЕРГИИ В УСТОЙЧИВОМ ГОРОДСКОМ РАЗВИТИИ // Cold Science. 2024.</w:t>
      </w:r>
    </w:p>
    <w:p>
      <w:pPr>
        <w:numPr>
          <w:ilvl w:val="0"/>
          <w:numId w:val="1003"/>
        </w:numPr>
        <w:pStyle w:val="Compact"/>
      </w:pPr>
      <w:r>
        <w:t xml:space="preserve">Сибикин, М. Ю. Нетрадиционные и возобновляемые источники энергии. : учебное пособие / М. Ю. Сибикин, Ю. Д. Сибикин. — Москва : КноРус, 2026. — 228 с. — ISBN 978-5-406-15307-9.</w:t>
      </w:r>
    </w:p>
    <w:p>
      <w:pPr>
        <w:numPr>
          <w:ilvl w:val="0"/>
          <w:numId w:val="1003"/>
        </w:numPr>
        <w:pStyle w:val="Compact"/>
      </w:pPr>
      <w:r>
        <w:t xml:space="preserve">Гайнуллина Л.Р., Фасыхов А.Р., Тимербаев Н.Ф., Ибрагимова В.Р. Углеродный след энергетического сектора // Вестник Российского университета дружбы народов. Серия: Экология и безопасность жизнедеятельности. 2024.</w:t>
      </w:r>
    </w:p>
    <w:p>
      <w:pPr>
        <w:numPr>
          <w:ilvl w:val="0"/>
          <w:numId w:val="1003"/>
        </w:numPr>
        <w:pStyle w:val="Compact"/>
      </w:pPr>
      <w:r>
        <w:t xml:space="preserve">Игнатьева, И.А. Возобновляемая энергетика в российской эколого-правовой парадигме : Монография / И.А. Игнатьева — Москва : Проспект, 2023. — 256 с. — ISBN 978-5-392-39863-8.</w:t>
      </w:r>
    </w:p>
    <w:p>
      <w:pPr>
        <w:numPr>
          <w:ilvl w:val="0"/>
          <w:numId w:val="1003"/>
        </w:numPr>
        <w:pStyle w:val="Compact"/>
      </w:pPr>
      <w:r>
        <w:t xml:space="preserve">Федюхин А.В., Гашо Е.Г. МЕТОДИЧЕСКИЕ ПОДХОДЫ К АНАЛИЗУ ЭНЕРГОЭКОЛОГИЧЕСКОГО МЕТАБОЛИЗМА ГОРОДОВ // Глобальная энергия. 2024.</w:t>
      </w:r>
    </w:p>
    <w:p>
      <w:pPr>
        <w:numPr>
          <w:ilvl w:val="0"/>
          <w:numId w:val="1003"/>
        </w:numPr>
        <w:pStyle w:val="Compact"/>
      </w:pPr>
      <w:r>
        <w:t xml:space="preserve">Пенджиев, А. М. Экоэнергетические ресурсы возобновляемых источников энергии : монография / А. М. Пенджиев. — Москва : Русайнс, 2023. — 399 с. — ISBN 978-5-466-04093-7.</w:t>
      </w:r>
    </w:p>
    <w:p>
      <w:pPr>
        <w:numPr>
          <w:ilvl w:val="0"/>
          <w:numId w:val="1003"/>
        </w:numPr>
        <w:pStyle w:val="Compact"/>
      </w:pPr>
      <w:r>
        <w:t xml:space="preserve">Супранович В.М., Сафронова А.Д. ПРИНЦИПЫ ФОРМИРОВАНИЯ АРХИТЕКТУРНО-ХУДОЖЕСТВЕННОГО ОБЛИКА ЗДАНИЙ МУСОРОСОРТИРОВОЧНЫХ СТАНЦИЙ В КОНТЕКСТЕ ГОРОДСКОЙ СРЕДЫ // Вестник Белгородского государственного технологического университета им. В. Г. Шухова. 2022.</w:t>
      </w:r>
    </w:p>
    <w:p>
      <w:pPr>
        <w:numPr>
          <w:ilvl w:val="0"/>
          <w:numId w:val="1003"/>
        </w:numPr>
        <w:pStyle w:val="Compact"/>
      </w:pPr>
      <w:r>
        <w:t xml:space="preserve">Астанин, В. К., Анализ образования полимерных отходов эксплуатации машин АПК и их переработка. : монография / В. К. Астанин, Е. В. Пухов, И. В. Титова, А. С. Василенко. — Москва : Русайнс, 2019. — 99 с. — ISBN 978-5-4365-3566-1.</w:t>
      </w:r>
    </w:p>
    <w:p>
      <w:pPr>
        <w:numPr>
          <w:ilvl w:val="0"/>
          <w:numId w:val="1003"/>
        </w:numPr>
        <w:pStyle w:val="Compact"/>
      </w:pPr>
      <w:r>
        <w:t xml:space="preserve">Гамм Т.А., Гривко Е.В. РАЦИОНАЛИЗАЦИЯ ОБРАЩЕНИЯ С ТВЁРДЫМИ КОММУНАЛЬНЫМИ ОТХОДАМИ ГОРОДА (НА ПРИМЕРЕ ДЕЯТЕЛЬНОСТИ ООО «ЭКОСПУТНИК» В ГОРОДЕ ОРЕНБУРГЕ) // Самарский научный вестник. 2024.</w:t>
      </w:r>
    </w:p>
    <w:p>
      <w:pPr>
        <w:numPr>
          <w:ilvl w:val="0"/>
          <w:numId w:val="1003"/>
        </w:numPr>
        <w:pStyle w:val="Compact"/>
      </w:pPr>
      <w:r>
        <w:t xml:space="preserve">Альтернативные источники энергии : учебник / Ф. И. Сухов, Ю. П. Сидоров, В. Г. Попов [и др.] ; под ред. Ф. И. Сухова. — Москва : Русайнс, 2026. — 344 с. — ISBN 978-5-466-11637-3.</w:t>
      </w:r>
    </w:p>
    <w:p>
      <w:pPr>
        <w:numPr>
          <w:ilvl w:val="0"/>
          <w:numId w:val="1003"/>
        </w:numPr>
        <w:pStyle w:val="Compact"/>
      </w:pPr>
      <w:r>
        <w:t xml:space="preserve">Мешкова К.В., Василькова Е.А. УТИЛИЗАЦИЯ И ПЕРЕРАБОТКА ОТХОДОВ ПОТРЕБЛЕНИЯ В РОССИИ И ЗА РУБЕЖОМ // Вестник науки. 2022.</w:t>
      </w:r>
    </w:p>
    <w:p>
      <w:pPr>
        <w:numPr>
          <w:ilvl w:val="0"/>
          <w:numId w:val="1003"/>
        </w:numPr>
        <w:pStyle w:val="Compact"/>
      </w:pPr>
      <w:r>
        <w:t xml:space="preserve">Обеспечение электрической энергией автономных и удаленных потребителей Сахалинской области : монография / В. П. Максимов, И. Г. Минервин, М. А. Смирнова [и др.]. — Москва : Русайнс, 2024. — 205 с. — ISBN 978-5-466-07328-7.</w:t>
      </w:r>
    </w:p>
    <w:p>
      <w:pPr>
        <w:numPr>
          <w:ilvl w:val="0"/>
          <w:numId w:val="1003"/>
        </w:numPr>
        <w:pStyle w:val="Compact"/>
      </w:pPr>
      <w:r>
        <w:t xml:space="preserve">Полякова А.Н., Зелинская Е.В. СОВЕРШЕНСТВОВАНИЕ МЕХАНИЗМА УПРАВЛЕНИЯ ПРОМЫШЛЕННЫМИ ОТХОДАМИ В ГОРОДСКОЙ СРЕДЕ // Форум молодых ученых. 2020.</w:t>
      </w:r>
    </w:p>
    <w:p>
      <w:pPr>
        <w:numPr>
          <w:ilvl w:val="0"/>
          <w:numId w:val="1003"/>
        </w:numPr>
        <w:pStyle w:val="Compact"/>
      </w:pPr>
      <w:r>
        <w:t xml:space="preserve">Бронская Ю.К., Пармененков К.Н. ОСОЗНАННОЕ ПОТРЕБЛЕНИЕ КАК ОДИН ИЗ ФАКТОРОВ В РОСТЕ УТИЛИЗАЦИИ МУСОРА В РОССИЙСКОЙ ФЕДЕРАЦИИ НА СОВРЕМЕННОМ ЭТАПЕ // Финансовые рынки и банки. 2023.</w:t>
      </w:r>
    </w:p>
    <w:p>
      <w:pPr>
        <w:numPr>
          <w:ilvl w:val="0"/>
          <w:numId w:val="1003"/>
        </w:numPr>
        <w:pStyle w:val="Compact"/>
      </w:pPr>
      <w:r>
        <w:t xml:space="preserve">Мубаракшина Ф.Д., Гусева А.А. Современные проблемы и технологии переработки мусора в России и за рубежом // Известия Казанского государственного архитектурно-строительного университета. 2011.</w:t>
      </w:r>
    </w:p>
    <w:p>
      <w:pPr>
        <w:numPr>
          <w:ilvl w:val="0"/>
          <w:numId w:val="1003"/>
        </w:numPr>
        <w:pStyle w:val="Compact"/>
      </w:pPr>
      <w:r>
        <w:t xml:space="preserve">Копец Ю.В. Организация системы раздельного сбора твердых коммунальных отходов на примере г. Луганска // Инженерный вестник Дона. 2023.</w:t>
      </w:r>
    </w:p>
    <w:p>
      <w:pPr>
        <w:numPr>
          <w:ilvl w:val="0"/>
          <w:numId w:val="1003"/>
        </w:numPr>
        <w:pStyle w:val="Compact"/>
      </w:pPr>
      <w:r>
        <w:t xml:space="preserve">Кирпичникова И.М., Топольская И.Г., Топольский Д.В., Аникин А.С. АЛЬТЕРНАТИВНЫЕ ИСТОЧНИКИ ЭНЕРГИИ НА СЛУЖБЕ ГОРОДА. ОПЫТ ЗАРУБЕЖНЫХ СТРАН // Альтернативная энергетика и экология. 2013.</w:t>
      </w:r>
    </w:p>
    <w:p>
      <w:pPr>
        <w:numPr>
          <w:ilvl w:val="0"/>
          <w:numId w:val="1003"/>
        </w:numPr>
        <w:pStyle w:val="Compact"/>
      </w:pPr>
      <w:r>
        <w:t xml:space="preserve">Дикарева Е.А., Перехоженцев А.Г. Выявление оптимальной системы альтернативной энергетики для применения в структуре существующих городов России // Евразийский Союз Ученых. 2018.</w:t>
      </w:r>
    </w:p>
    <w:p>
      <w:pPr>
        <w:numPr>
          <w:ilvl w:val="0"/>
          <w:numId w:val="1003"/>
        </w:numPr>
        <w:pStyle w:val="Compact"/>
      </w:pPr>
      <w:r>
        <w:t xml:space="preserve">Мартынова Т.С., Логачев Н.А., Дайнеко Д.Ю., Обрядин А.С., Вакуров А.Е. Фасады SolarLeaf - источник альтернативной энергии в строительстве // Бюллетень науки и практики. 2019.</w:t>
      </w:r>
    </w:p>
    <w:p>
      <w:pPr>
        <w:numPr>
          <w:ilvl w:val="0"/>
          <w:numId w:val="1003"/>
        </w:numPr>
        <w:pStyle w:val="Compact"/>
      </w:pPr>
      <w:r>
        <w:t xml:space="preserve">Шинжина А.А., Сейсенбаева М.К. Попытка применения «Микс» энергии на жилых участках близ города Семей // Международный научно-исследовательский журнал. 2014.</w:t>
      </w:r>
    </w:p>
    <w:p>
      <w:pPr>
        <w:numPr>
          <w:ilvl w:val="0"/>
          <w:numId w:val="1003"/>
        </w:numPr>
        <w:pStyle w:val="Compact"/>
      </w:pPr>
      <w:r>
        <w:t xml:space="preserve">Аполлонский, С. М. Энергосберегающие технологии в энергетике в России : монография / С. М. Аполлонский. — Москва : Русайнс, 2022. — 441 с. — ISBN 978-5-4365-9769-0.</w:t>
      </w:r>
    </w:p>
    <w:p>
      <w:pPr>
        <w:numPr>
          <w:ilvl w:val="0"/>
          <w:numId w:val="1003"/>
        </w:numPr>
        <w:pStyle w:val="Compact"/>
      </w:pPr>
      <w:r>
        <w:t xml:space="preserve">Аксютин О.Е. Современные риски и возможности для устойчивого развития рынка природного газа // Энергетическая политика. 2017.</w:t>
      </w:r>
    </w:p>
    <w:p>
      <w:pPr>
        <w:numPr>
          <w:ilvl w:val="0"/>
          <w:numId w:val="1003"/>
        </w:numPr>
        <w:pStyle w:val="Compact"/>
      </w:pPr>
      <w:r>
        <w:t xml:space="preserve">Нестеров, А. В. Виртуальные следы в криминалистике : учебник / А. В. Нестеров. — Москва : КноРус, 2024. — 153 с. — ISBN 978-5-406-12176-4.</w:t>
      </w:r>
    </w:p>
    <w:p>
      <w:pPr>
        <w:numPr>
          <w:ilvl w:val="0"/>
          <w:numId w:val="1003"/>
        </w:numPr>
        <w:pStyle w:val="Compact"/>
      </w:pPr>
      <w:r>
        <w:t xml:space="preserve">Маслов А.А., Сазонов С.Л. ПЛАНЫ РУКОВОДСТВА КИТАЯ ПО ДОСТИЖЕНИЮ УГЛЕРОДНОЙ НЕЙТРАЛЬНОСТИ К 2060 г. // Большая Евразия: развитие, безопасность, сотрудничество. 2022.</w:t>
      </w:r>
    </w:p>
    <w:p>
      <w:pPr>
        <w:numPr>
          <w:ilvl w:val="0"/>
          <w:numId w:val="1003"/>
        </w:numPr>
        <w:pStyle w:val="Compact"/>
      </w:pPr>
      <w:r>
        <w:t xml:space="preserve">Международное экономическое сотрудничество и интеграционные процессы в энергетике. Практикум : учебно-практическое пособие / И. А. Меркулина, Г. В. Колесник, А. В. Филиппова [и др.] ; под ред. И. А. Меркулиной. — Москва : КноРус, 2024. — 168 с. — ISBN 978-5-406-09281-1.</w:t>
      </w:r>
    </w:p>
    <w:bookmarkEnd w:id="32"/>
    <w:sectPr>
      <w:footerReference w:type="default" r:id="rId11"/>
      <w:pgSz w:w="11906" w:h="16838" w:orient="portrait"/>
      <w:pgMar w:top="1134" w:right="851" w:bottom="1134" w:left="1701" w:header="708" w:footer="708"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0.xml><?xml version="1.0" encoding="utf-8"?>
<w:ftr xmlns:w="http://schemas.openxmlformats.org/wordprocessingml/2006/main">
  <w:p>
    <w:pPr>
      <w:jc w:val="center"/>
      <w:ind w:left="0" w:right="0" w:firstLine="0"/>
    </w:pPr>
    <w:r>
      <w:t>Город, 2026</w:t>
    </w:r>
  </w:p>
</w:ftr>
</file>

<file path=word/footer1.xml><?xml version="1.0" encoding="utf-8"?>
<w:ftr xmlns:w="http://schemas.openxmlformats.org/wordprocessingml/2006/main">
  <w:p/>
</w:ftr>
</file>

<file path=word/footer2.xml><?xml version="1.0" encoding="utf-8"?>
<w:ftr xmlns:w="http://schemas.openxmlformats.org/wordprocessingml/2006/main" xmlns:r="http://schemas.openxmlformats.org/officeDocument/2006/relationships">
  <w:p>
    <w:pPr>
      <w:jc w:val="center"/>
      <w:ind w:left="0" w:right="0" w:firstLine="0"/>
    </w:pPr>
    <w:r>
      <w:rPr>
        <w:shd w:val="clear" w:color="auto" w:fill="FFFFFF"/>
      </w:rPr>
      <w:fldChar w:fldCharType="begin"/>
    </w:r>
    <w:r>
      <w:rPr>
        <w:shd w:val="clear" w:color="auto" w:fill="FFFFFF"/>
      </w:rPr>
      <w:instrText xml:space="preserve"> PAGE </w:instrText>
    </w:r>
    <w:r>
      <w:rPr>
        <w:shd w:val="clear" w:color="auto" w:fill="FFFFFF"/>
      </w:rPr>
      <w:fldChar w:fldCharType="separate"/>
    </w:r>
    <w:r>
      <w:rPr>
        <w:shd w:val="clear" w:color="auto" w:fill="FFFFFF"/>
      </w:rPr>
      <w:t>1</w:t>
    </w:r>
    <w:r>
      <w:rPr>
        <w:shd w:val="clear" w:color="auto" w:fill="FFFFFF"/>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updateFields w:val="true"/>
  <w:doNotShadeFormData/>
</w:settings>
</file>

<file path=word/styles.xml><?xml version="1.0" encoding="utf-8"?>
<w:styles xmlns:r="http://schemas.openxmlformats.org/officeDocument/2006/relationships" xmlns:w="http://schemas.openxmlformats.org/wordprocessingml/2006/main">
  <w:docDefaults>
    <w:rPrDefault>
      <w:rPr>
        <w:color w:val="000000"/>
        <w:rFonts w:ascii="Times New Roman" w:hAnsi="Times New Roman" w:cs="Times New Roman" w:eastAsia="Times New Roman"/>
        <w:sz w:val="28"/>
        <w:szCs w:val="28"/>
        <w:lang w:bidi="ar-SA" w:eastAsia="en-US" w:val="en-US"/>
      </w:rPr>
    </w:rPrDefault>
    <w:pPrDefault>
      <w:pPr>
        <w:jc w:val="both"/>
        <w:spacing w:line="360" w:lineRule="auto"/>
      </w:pPr>
    </w:pPrDefault>
  </w:docDefaults>
  <w:latentStyles w:count="276" w:defLockedState="0" w:defQFormat="0" w:defSemiHidden="0" w:defUIPriority="0" w:defUnhideWhenUsed="0"/>
  <w:style w:default="1" w:styleId="Normal" w:type="paragraph">
    <w:name w:val="Normal"/>
    <w:qFormat/>
    <w:pPr>
      <w:ind w:firstLine="709"/>
      <w:jc w:val="both"/>
      <w:spacing w:line="360" w:lineRule="auto"/>
    </w:pPr>
    <w:rPr>
      <w:color w:val="000000"/>
      <w:szCs w:val="28"/>
      <w:sz w:val="28"/>
      <w:rFonts w:ascii="Times New Roman" w:hAnsi="Times New Roman" w:cs="Times New Roman" w:eastAsia="Times New Roman"/>
    </w:rPr>
  </w:style>
  <w:style w:styleId="BodyText" w:type="paragraph">
    <w:name w:val="Body Text"/>
    <w:basedOn w:val="Normal"/>
    <w:link w:val="BodyTextChar"/>
    <w:pPr>
      <w:ind w:firstLine="709"/>
      <w:jc w:val="both"/>
      <w:spacing w:line="360" w:lineRule="auto"/>
    </w:pPr>
    <w:qFormat/>
    <w:rPr>
      <w:color w:val="000000"/>
      <w:szCs w:val="28"/>
      <w:sz w:val="28"/>
      <w:rFonts w:ascii="Times New Roman" w:hAnsi="Times New Roman" w:cs="Times New Roman" w:eastAsia="Times New Roman"/>
    </w:rPr>
  </w:style>
  <w:style w:customStyle="1" w:styleId="FirstParagraph" w:type="paragraph">
    <w:name w:val="First Paragraph"/>
    <w:basedOn w:val="BodyText"/>
    <w:next w:val="BodyText"/>
    <w:qFormat/>
    <w:pPr>
      <w:ind w:firstLine="709"/>
      <w:jc w:val="both"/>
      <w:spacing w:line="360" w:lineRule="auto"/>
    </w:pPr>
    <w:rPr>
      <w:color w:val="000000"/>
      <w:szCs w:val="28"/>
      <w:sz w:val="28"/>
      <w:rFonts w:ascii="Times New Roman" w:hAnsi="Times New Roman" w:cs="Times New Roman" w:eastAsia="Times New Roman"/>
    </w:rPr>
  </w:style>
  <w:style w:customStyle="1" w:styleId="Compact" w:type="paragraph">
    <w:name w:val="Compact"/>
    <w:basedOn w:val="BodyText"/>
    <w:qFormat/>
    <w:pPr>
      <w:ind w:firstLine="709"/>
      <w:jc w:val="both"/>
      <w:spacing w:line="360" w:lineRule="auto"/>
    </w:pPr>
    <w:rPr>
      <w:color w:val="000000"/>
      <w:szCs w:val="28"/>
      <w:sz w:val="28"/>
      <w:rFonts w:ascii="Times New Roman" w:hAnsi="Times New Roman" w:cs="Times New Roman" w:eastAsia="Times New Roman"/>
    </w:rPr>
  </w:style>
  <w:style w:styleId="Title" w:type="paragraph">
    <w:name w:val="Title"/>
    <w:basedOn w:val="Normal"/>
    <w:next w:val="BodyText"/>
    <w:qFormat/>
    <w:pPr>
      <w:ind w:firstLine="0"/>
      <w:keepNext/>
      <w:keepLines/>
      <w:spacing w:line="360" w:lineRule="auto" w:after="40"/>
      <w:jc w:val="center"/>
    </w:pPr>
    <w:rPr>
      <w:u w:val="none"/>
      <w:caps/>
      <w:rFonts w:ascii="Times New Roman" w:hAnsi="Times New Roman" w:cs="Times New Roman" w:eastAsia="Times New Roman"/>
      <w:b/>
      <w:bCs/>
      <w:color w:val="000000"/>
      <w:sz w:val="28"/>
      <w:szCs w:val="28"/>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ind w:firstLine="0"/>
      <w:jc w:val="center"/>
      <w:keepNext/>
      <w:keepLines/>
      <w:spacing w:line="360" w:lineRule="auto" w:after="50"/>
      <w:outlineLvl w:val="0"/>
    </w:pPr>
    <w:rPr>
      <w:u w:val="none"/>
      <w:caps/>
      <w:rFonts w:ascii="Times New Roman" w:hAnsi="Times New Roman" w:cs="Times New Roman" w:eastAsia="Times New Roman"/>
      <w:b/>
      <w:bCs/>
      <w:color w:val="000000"/>
      <w:sz w:val="28"/>
      <w:szCs w:val="28"/>
    </w:rPr>
  </w:style>
  <w:style w:styleId="Heading2" w:type="paragraph">
    <w:name w:val="Heading 2"/>
    <w:basedOn w:val="Normal"/>
    <w:next w:val="BodyText"/>
    <w:uiPriority w:val="9"/>
    <w:unhideWhenUsed/>
    <w:qFormat/>
    <w:pPr>
      <w:ind w:firstLine="709"/>
      <w:jc w:val="left"/>
      <w:keepNext/>
      <w:keepLines/>
      <w:spacing w:line="360" w:lineRule="auto" w:after="40"/>
      <w:outlineLvl w:val="1"/>
    </w:pPr>
    <w:rPr>
      <w:u w:val="none"/>
      <w:caps w:val="0"/>
      <w:smallCaps w:val="0"/>
      <w:rFonts w:ascii="Times New Roman" w:hAnsi="Times New Roman" w:cs="Times New Roman" w:eastAsia="Times New Roman"/>
      <w:b/>
      <w:bCs/>
      <w:color w:val="000000"/>
      <w:sz w:val="28"/>
      <w:szCs w:val="28"/>
    </w:rPr>
  </w:style>
  <w:style w:styleId="Heading3" w:type="paragraph">
    <w:name w:val="Heading 3"/>
    <w:basedOn w:val="Normal"/>
    <w:next w:val="BodyText"/>
    <w:uiPriority w:val="9"/>
    <w:unhideWhenUsed/>
    <w:qFormat/>
    <w:pPr>
      <w:ind w:firstLine="709"/>
      <w:jc w:val="left"/>
      <w:keepNext/>
      <w:keepLines/>
      <w:spacing w:line="360" w:lineRule="auto" w:before="720" w:after="40"/>
      <w:outlineLvl w:val="2"/>
    </w:pPr>
    <w:rPr>
      <w:u w:val="none"/>
      <w:caps w:val="0"/>
      <w:smallCaps w:val="0"/>
      <w:rFonts w:ascii="Times New Roman" w:hAnsi="Times New Roman" w:cs="Times New Roman" w:eastAsia="Times New Roman"/>
      <w:b/>
      <w:bCs/>
      <w:color w:val="000000"/>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footer" Target="footer0.xml"/><Relationship Id="rId10" Type="http://schemas.openxmlformats.org/officeDocument/2006/relationships/footer" Target="footer1.xml"/><Relationship Id="rId11" Type="http://schemas.openxmlformats.org/officeDocument/2006/relationships/footer" Target="footer2.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2026-09-06T11:44:49Z</dcterms:created>
  <dcterms:modified xsi:type="dcterms:W3CDTF">2026-09-06T11:44:49Z</dcterms:modified>
</cp:coreProperties>
</file>

<file path=docProps/custom.xml><?xml version="1.0" encoding="utf-8"?>
<Properties xmlns="http://schemas.openxmlformats.org/officeDocument/2006/custom-properties" xmlns:vt="http://schemas.openxmlformats.org/officeDocument/2006/docPropsVTypes"/>
</file>